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昆明医科大学第二附属医院</w:t>
      </w:r>
    </w:p>
    <w:p>
      <w:pPr>
        <w:jc w:val="center"/>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宣传物料设计制作安装项目</w:t>
      </w:r>
    </w:p>
    <w:p>
      <w:pPr>
        <w:numPr>
          <w:ilvl w:val="0"/>
          <w:numId w:val="1"/>
        </w:num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响应文件编制要求</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响应文件由报价部分、综合部分、资格证明文件部分三部分组成。</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报价部分主要包括下列内容：</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1.根据下表进行报价。</w:t>
      </w:r>
    </w:p>
    <w:tbl>
      <w:tblPr>
        <w:tblStyle w:val="2"/>
        <w:tblW w:w="94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7"/>
        <w:gridCol w:w="1219"/>
        <w:gridCol w:w="2029"/>
        <w:gridCol w:w="734"/>
        <w:gridCol w:w="1517"/>
        <w:gridCol w:w="1831"/>
        <w:gridCol w:w="1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序号</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制作名称</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规格及材质</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单位</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b/>
                <w:bCs/>
                <w:i w:val="0"/>
                <w:iCs w:val="0"/>
                <w:color w:val="000000"/>
                <w:kern w:val="0"/>
                <w:sz w:val="18"/>
                <w:szCs w:val="18"/>
                <w:u w:val="none"/>
                <w:lang w:val="en-US" w:eastAsia="zh-CN" w:bidi="ar"/>
              </w:rPr>
            </w:pPr>
            <w:r>
              <w:rPr>
                <w:rFonts w:hint="eastAsia" w:ascii="方正仿宋_GBK" w:hAnsi="方正仿宋_GBK" w:eastAsia="方正仿宋_GBK" w:cs="方正仿宋_GBK"/>
                <w:b/>
                <w:bCs/>
                <w:i w:val="0"/>
                <w:iCs w:val="0"/>
                <w:color w:val="000000"/>
                <w:sz w:val="18"/>
                <w:szCs w:val="18"/>
                <w:u w:val="none"/>
                <w:lang w:eastAsia="zh-CN"/>
              </w:rPr>
              <w:t>设计、制作费</w:t>
            </w:r>
            <w:r>
              <w:rPr>
                <w:rFonts w:hint="eastAsia" w:ascii="方正仿宋_GBK" w:hAnsi="方正仿宋_GBK" w:eastAsia="方正仿宋_GBK" w:cs="方正仿宋_GBK"/>
                <w:b/>
                <w:bCs/>
                <w:i w:val="0"/>
                <w:iCs w:val="0"/>
                <w:color w:val="000000"/>
                <w:kern w:val="0"/>
                <w:sz w:val="18"/>
                <w:szCs w:val="18"/>
                <w:u w:val="none"/>
                <w:lang w:val="en-US" w:eastAsia="zh-CN" w:bidi="ar"/>
              </w:rPr>
              <w:t>（元）</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b/>
                <w:bCs/>
                <w:i w:val="0"/>
                <w:iCs w:val="0"/>
                <w:color w:val="000000"/>
                <w:kern w:val="0"/>
                <w:sz w:val="18"/>
                <w:szCs w:val="18"/>
                <w:u w:val="none"/>
                <w:lang w:val="en-US" w:eastAsia="zh-CN" w:bidi="ar"/>
              </w:rPr>
            </w:pPr>
            <w:r>
              <w:rPr>
                <w:rFonts w:hint="eastAsia" w:ascii="方正仿宋_GBK" w:hAnsi="方正仿宋_GBK" w:eastAsia="方正仿宋_GBK" w:cs="方正仿宋_GBK"/>
                <w:b/>
                <w:bCs/>
                <w:i w:val="0"/>
                <w:iCs w:val="0"/>
                <w:color w:val="000000"/>
                <w:kern w:val="0"/>
                <w:sz w:val="18"/>
                <w:szCs w:val="18"/>
                <w:u w:val="none"/>
                <w:lang w:val="en-US" w:eastAsia="zh-CN" w:bidi="ar"/>
              </w:rPr>
              <w:t>安装、拆卸等人工费</w:t>
            </w:r>
          </w:p>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b/>
                <w:bCs/>
                <w:i w:val="0"/>
                <w:iCs w:val="0"/>
                <w:color w:val="000000"/>
                <w:kern w:val="0"/>
                <w:sz w:val="18"/>
                <w:szCs w:val="18"/>
                <w:u w:val="none"/>
                <w:lang w:val="en-US" w:eastAsia="zh-CN" w:bidi="ar"/>
              </w:rPr>
            </w:pPr>
            <w:r>
              <w:rPr>
                <w:rFonts w:hint="eastAsia" w:ascii="方正仿宋_GBK" w:hAnsi="方正仿宋_GBK" w:eastAsia="方正仿宋_GBK" w:cs="方正仿宋_GBK"/>
                <w:b/>
                <w:bCs/>
                <w:i w:val="0"/>
                <w:iCs w:val="0"/>
                <w:color w:val="000000"/>
                <w:kern w:val="0"/>
                <w:sz w:val="18"/>
                <w:szCs w:val="18"/>
                <w:u w:val="none"/>
                <w:lang w:val="en-US" w:eastAsia="zh-CN" w:bidi="ar"/>
              </w:rPr>
              <w:t>（元）</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b/>
                <w:bCs/>
                <w:i w:val="0"/>
                <w:iCs w:val="0"/>
                <w:color w:val="000000"/>
                <w:kern w:val="0"/>
                <w:sz w:val="18"/>
                <w:szCs w:val="18"/>
                <w:u w:val="none"/>
                <w:lang w:val="en-US" w:eastAsia="zh-CN" w:bidi="ar"/>
              </w:rPr>
            </w:pPr>
            <w:r>
              <w:rPr>
                <w:rFonts w:hint="eastAsia" w:ascii="方正仿宋_GBK" w:hAnsi="方正仿宋_GBK" w:eastAsia="方正仿宋_GBK" w:cs="方正仿宋_GBK"/>
                <w:b/>
                <w:bCs/>
                <w:i w:val="0"/>
                <w:iCs w:val="0"/>
                <w:color w:val="000000"/>
                <w:kern w:val="0"/>
                <w:sz w:val="18"/>
                <w:szCs w:val="18"/>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w:t>
            </w:r>
          </w:p>
        </w:tc>
        <w:tc>
          <w:tcPr>
            <w:tcW w:w="12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喷绘（购买）</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外光灯布520</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内光灯布（刀刮布）</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高精喷绘320</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高精喷绘520</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w:t>
            </w:r>
          </w:p>
        </w:tc>
        <w:tc>
          <w:tcPr>
            <w:tcW w:w="12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写真（购买）</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户内写真110kg过膜</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户内PVC胶片写真过膜</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户外写真220kg</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高精户内写真160kg过膜</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户外写真不干胶过膜</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户外PVC胶片写真过膜</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写真+KT板</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6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w:t>
            </w:r>
          </w:p>
        </w:tc>
        <w:tc>
          <w:tcPr>
            <w:tcW w:w="12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条幅（购买）</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牛津布，宽0.8-1.5m</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斜纹布，宽1.2-1.5m</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荧光布，宽1.2-1.5m</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w:t>
            </w:r>
          </w:p>
        </w:tc>
        <w:tc>
          <w:tcPr>
            <w:tcW w:w="12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KT板（购买）</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4mmKT板</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耐用版，5mm纸板</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超卡版</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w:t>
            </w:r>
          </w:p>
        </w:tc>
        <w:tc>
          <w:tcPr>
            <w:tcW w:w="12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安迪板（PVC板）（购买）</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3MM厚</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5MM厚</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8MM厚</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10MM厚</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w:t>
            </w:r>
          </w:p>
        </w:tc>
        <w:tc>
          <w:tcPr>
            <w:tcW w:w="12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易拉宝（购买）</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铝合金+ABS侧板，全铝合金0.8×2米</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个</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铝合金+ABS侧板，全铝合金1.0×2米</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个</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铝合金+ABS侧板，全铝合金1.2×2米</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个</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6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w:t>
            </w:r>
          </w:p>
        </w:tc>
        <w:tc>
          <w:tcPr>
            <w:tcW w:w="12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桁架（租赁、拆卸、安装）</w:t>
            </w:r>
          </w:p>
        </w:tc>
        <w:tc>
          <w:tcPr>
            <w:tcW w:w="202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方管</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M</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202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M</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8</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公告/信息栏（购买）</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2050*1030，1.2mm不锈钢制作、汽车烤漆图文丝印</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块</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彩旗（购买）</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普通布,1.5*0.8M</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面</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10</w:t>
            </w:r>
          </w:p>
        </w:tc>
        <w:tc>
          <w:tcPr>
            <w:tcW w:w="12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注水道旗（购买）</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100×400</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个</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1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120×500</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个</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4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合计（单位：元）</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836" w:type="dxa"/>
            <w:gridSpan w:val="2"/>
            <w:tcBorders>
              <w:top w:val="single" w:color="000000" w:sz="4" w:space="0"/>
              <w:left w:val="single" w:color="000000" w:sz="4" w:space="0"/>
              <w:bottom w:val="single" w:color="000000" w:sz="4" w:space="0"/>
              <w:right w:val="single" w:color="000000" w:sz="4" w:space="0"/>
            </w:tcBorders>
            <w:noWrap w:val="0"/>
            <w:vAlign w:val="top"/>
          </w:tcPr>
          <w:p>
            <w:pPr>
              <w:pageBreakBefore w:val="0"/>
              <w:kinsoku/>
              <w:wordWrap/>
              <w:overflowPunct/>
              <w:topLinePunct w:val="0"/>
              <w:autoSpaceDE/>
              <w:autoSpaceDN/>
              <w:bidi w:val="0"/>
              <w:spacing w:line="560" w:lineRule="exact"/>
              <w:jc w:val="center"/>
              <w:rPr>
                <w:rFonts w:hint="eastAsia" w:ascii="方正仿宋_GBK" w:hAnsi="方正仿宋_GBK" w:eastAsia="方正仿宋_GBK" w:cs="方正仿宋_GBK"/>
                <w:i w:val="0"/>
                <w:iCs w:val="0"/>
                <w:color w:val="000000"/>
                <w:sz w:val="18"/>
                <w:szCs w:val="18"/>
                <w:u w:val="none"/>
                <w:lang w:eastAsia="zh-CN"/>
              </w:rPr>
            </w:pPr>
            <w:r>
              <w:rPr>
                <w:rFonts w:hint="eastAsia" w:ascii="方正仿宋_GBK" w:hAnsi="方正仿宋_GBK" w:eastAsia="方正仿宋_GBK" w:cs="方正仿宋_GBK"/>
                <w:i w:val="0"/>
                <w:iCs w:val="0"/>
                <w:color w:val="000000"/>
                <w:sz w:val="18"/>
                <w:szCs w:val="18"/>
                <w:u w:val="none"/>
                <w:lang w:eastAsia="zh-CN"/>
              </w:rPr>
              <w:t>质保期及到货期：</w:t>
            </w:r>
          </w:p>
        </w:tc>
        <w:tc>
          <w:tcPr>
            <w:tcW w:w="758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本项目报价方式：包干单价。</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乙方的包干单价应包含项目所有费用（投标报价包括但不限于：设备费、人工费、运输费、安装调试费、税金等所有费用。以及伴随服务（投标、中标、签订合同并履约）过程中所发生的一切费用的最终报价）不允许另有折扣说明。乙方一旦成交，在合同实施期间均不作调整。</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（二）综合部分（格式自拟）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1.设计方案（医院拟建设廉政文化长廊，以该项目为例提供设计制作方案）</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（1）位置及设计尺寸：位置：7号楼核医学科外墙面。参考尺寸为669厘米×450厘米，最终以实际测量为准，共8块。各板块可动态更新，方便安装替换。</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长廊内容：文化长廊包括不仅限于党风廉政建设、清风廉韵、行业作风、警钟长鸣等四大板块内容，自行设计，设计稿件不得抄袭。其中，党风廉政建设包括习近平关于党风、作风、行风、家风等方面的重要论述，清风廉韵包括最美医学家庭。</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（3）设计图稿4幅，确定选材用料并报价。</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2.设计团队介绍，组织安装施工措施等；</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3.近三年业绩（设计或制作、安装合同）。</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（三）资格证明文件（加盖公章）</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1.法定代表人身份证明书（附法定代表人身份证复印件）；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2.法定代表人授权委托书（附被授权人身份证复印件）；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.企业资质等相关证明材料复印件；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4.其他资格证明文件：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具有良好的商业信誉和健全的财务会计制度，投标人须提供财务状况报告，内容可为近三个月内开户银行出具的资信证明或资金存款证明（复印件）或（2019年至2021年任意一年度）经审计的财务审计报告及财务报表（须包括审计报告、资产负债表、利润表、现金流量表），如投标人成立时间不足一年的，提供自成立至今的财务报表或相关情况说明；</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（2）具有履行合同所必须的设备和专业技术能力，提供书面声明。</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有依法缴纳税收和社会保障资金的良好记录，提供缴费所属时期在2021年01月至本项目投标文件提交截止时间前任意连续2个月的税收缴纳凭证和社保资金缴纳凭证（成立未满三个月的投标人提供成立以来税收和社会保障资金缴纳凭证或相关情况说明，依法不需要缴纳税收和社保的应提供相应的证明材料或合理可信的情况说明）。</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三年内在经营活动中没有重大违法记录（重大违法记录是指投标人因违法经营受到刑事处罚或者责令停产停业、吊销许可证或者执照、较大数额罚款等行政处罚），提供“三年内在经营活动中没有重大违法记录的书面声明”（成立未满三年的投标人提供成立以来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（四）投标人认为有必要提供的其他文件（格式自拟）</w:t>
      </w:r>
    </w:p>
    <w:p>
      <w:pPr>
        <w:widowControl w:val="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二、评标程序及标准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w:t>
      </w:r>
      <w:r>
        <w:rPr>
          <w:rFonts w:hint="default" w:ascii="方正仿宋_GBK" w:hAnsi="方正仿宋_GBK" w:eastAsia="方正仿宋_GBK" w:cs="方正仿宋_GBK"/>
          <w:sz w:val="32"/>
          <w:szCs w:val="32"/>
          <w:lang w:val="en-US" w:eastAsia="zh-CN"/>
        </w:rPr>
        <w:t>符合性评审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依据招标文件的规定，评标委员会对符合资格的投标人的投标文件从有效性、完整性和对招标文件的实质性响应程度等方面进行审查，见评标方法附表。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w:t>
      </w:r>
      <w:r>
        <w:rPr>
          <w:rFonts w:hint="default" w:ascii="方正仿宋_GBK" w:hAnsi="方正仿宋_GBK" w:eastAsia="方正仿宋_GBK" w:cs="方正仿宋_GBK"/>
          <w:sz w:val="32"/>
          <w:szCs w:val="32"/>
          <w:lang w:val="en-US" w:eastAsia="zh-CN"/>
        </w:rPr>
        <w:t>详细评审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评标委员会按照招标文件中规定的评标方法和标准，对符合性审查合格的投标文件进行商务和技术评估，综合比较与评价,见评标方法。</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（三）评标结果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评标委员会按最终得分由高到低顺序推荐</w:t>
      </w:r>
      <w:r>
        <w:rPr>
          <w:rFonts w:hint="eastAsia" w:ascii="方正仿宋_GBK" w:hAnsi="方正仿宋_GBK" w:eastAsia="方正仿宋_GBK" w:cs="方正仿宋_GBK"/>
          <w:sz w:val="32"/>
          <w:szCs w:val="32"/>
          <w:lang w:val="en-US" w:eastAsia="zh-CN"/>
        </w:rPr>
        <w:t>2</w:t>
      </w:r>
      <w:r>
        <w:rPr>
          <w:rFonts w:hint="default" w:ascii="方正仿宋_GBK" w:hAnsi="方正仿宋_GBK" w:eastAsia="方正仿宋_GBK" w:cs="方正仿宋_GBK"/>
          <w:sz w:val="32"/>
          <w:szCs w:val="32"/>
          <w:lang w:val="en-US" w:eastAsia="zh-CN"/>
        </w:rPr>
        <w:t>名中标候选人</w:t>
      </w:r>
      <w:r>
        <w:rPr>
          <w:rFonts w:hint="eastAsia" w:ascii="方正仿宋_GBK" w:hAnsi="方正仿宋_GBK" w:eastAsia="方正仿宋_GBK" w:cs="方正仿宋_GBK"/>
          <w:sz w:val="32"/>
          <w:szCs w:val="32"/>
          <w:lang w:val="en-US" w:eastAsia="zh-CN"/>
        </w:rPr>
        <w:t>。</w:t>
      </w:r>
    </w:p>
    <w:tbl>
      <w:tblPr>
        <w:tblStyle w:val="3"/>
        <w:tblW w:w="87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2903"/>
        <w:gridCol w:w="2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pPr>
              <w:widowControl w:val="0"/>
              <w:numPr>
                <w:ilvl w:val="0"/>
                <w:numId w:val="0"/>
              </w:numPr>
              <w:jc w:val="both"/>
              <w:rPr>
                <w:rFonts w:hint="eastAsia" w:ascii="方正楷体_GBK" w:hAnsi="方正楷体_GBK" w:eastAsia="方正楷体_GBK" w:cs="方正楷体_GBK"/>
                <w:sz w:val="21"/>
                <w:szCs w:val="21"/>
                <w:vertAlign w:val="baseline"/>
                <w:lang w:val="en-US" w:eastAsia="zh-CN"/>
              </w:rPr>
            </w:pPr>
            <w:r>
              <w:rPr>
                <w:rFonts w:hint="eastAsia" w:ascii="方正楷体_GBK" w:hAnsi="方正楷体_GBK" w:eastAsia="方正楷体_GBK" w:cs="方正楷体_GBK"/>
                <w:sz w:val="21"/>
                <w:szCs w:val="21"/>
                <w:vertAlign w:val="baseline"/>
                <w:lang w:val="en-US" w:eastAsia="zh-CN"/>
              </w:rPr>
              <w:t>评审程序</w:t>
            </w:r>
          </w:p>
        </w:tc>
        <w:tc>
          <w:tcPr>
            <w:tcW w:w="2903" w:type="dxa"/>
          </w:tcPr>
          <w:p>
            <w:pPr>
              <w:widowControl w:val="0"/>
              <w:numPr>
                <w:ilvl w:val="0"/>
                <w:numId w:val="0"/>
              </w:numPr>
              <w:jc w:val="both"/>
              <w:rPr>
                <w:rFonts w:hint="eastAsia" w:ascii="方正楷体_GBK" w:hAnsi="方正楷体_GBK" w:eastAsia="方正楷体_GBK" w:cs="方正楷体_GBK"/>
                <w:sz w:val="21"/>
                <w:szCs w:val="21"/>
                <w:vertAlign w:val="baseline"/>
                <w:lang w:val="en-US" w:eastAsia="zh-CN"/>
              </w:rPr>
            </w:pPr>
          </w:p>
        </w:tc>
        <w:tc>
          <w:tcPr>
            <w:tcW w:w="2905" w:type="dxa"/>
          </w:tcPr>
          <w:p>
            <w:pPr>
              <w:widowControl w:val="0"/>
              <w:numPr>
                <w:ilvl w:val="0"/>
                <w:numId w:val="0"/>
              </w:numPr>
              <w:jc w:val="both"/>
              <w:rPr>
                <w:rFonts w:hint="eastAsia" w:ascii="方正楷体_GBK" w:hAnsi="方正楷体_GBK" w:eastAsia="方正楷体_GBK" w:cs="方正楷体_GBK"/>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vMerge w:val="restart"/>
          </w:tcPr>
          <w:p>
            <w:pPr>
              <w:widowControl w:val="0"/>
              <w:numPr>
                <w:ilvl w:val="0"/>
                <w:numId w:val="0"/>
              </w:numPr>
              <w:jc w:val="both"/>
              <w:rPr>
                <w:rFonts w:hint="eastAsia" w:ascii="方正楷体_GBK" w:hAnsi="方正楷体_GBK" w:eastAsia="方正楷体_GBK" w:cs="方正楷体_GBK"/>
                <w:sz w:val="21"/>
                <w:szCs w:val="21"/>
                <w:vertAlign w:val="baseline"/>
                <w:lang w:val="en-US" w:eastAsia="zh-CN"/>
              </w:rPr>
            </w:pPr>
            <w:r>
              <w:rPr>
                <w:rFonts w:hint="eastAsia" w:ascii="方正楷体_GBK" w:hAnsi="方正楷体_GBK" w:eastAsia="方正楷体_GBK" w:cs="方正楷体_GBK"/>
                <w:sz w:val="21"/>
                <w:szCs w:val="21"/>
                <w:vertAlign w:val="baseline"/>
                <w:lang w:val="en-US" w:eastAsia="zh-CN"/>
              </w:rPr>
              <w:t>符合性评审标准</w:t>
            </w:r>
          </w:p>
        </w:tc>
        <w:tc>
          <w:tcPr>
            <w:tcW w:w="5808" w:type="dxa"/>
            <w:gridSpan w:val="2"/>
          </w:tcPr>
          <w:p>
            <w:pPr>
              <w:widowControl w:val="0"/>
              <w:numPr>
                <w:ilvl w:val="0"/>
                <w:numId w:val="0"/>
              </w:numPr>
              <w:jc w:val="both"/>
              <w:rPr>
                <w:rFonts w:hint="eastAsia" w:ascii="方正楷体_GBK" w:hAnsi="方正楷体_GBK" w:eastAsia="方正楷体_GBK" w:cs="方正楷体_GBK"/>
                <w:sz w:val="21"/>
                <w:szCs w:val="21"/>
                <w:vertAlign w:val="baseline"/>
                <w:lang w:val="en-US" w:eastAsia="zh-CN"/>
              </w:rPr>
            </w:pPr>
            <w:r>
              <w:rPr>
                <w:rFonts w:hint="eastAsia" w:ascii="方正楷体_GBK" w:hAnsi="方正楷体_GBK" w:eastAsia="方正楷体_GBK" w:cs="方正楷体_GBK"/>
                <w:sz w:val="21"/>
                <w:szCs w:val="21"/>
                <w:vertAlign w:val="baseline"/>
                <w:lang w:val="en-US" w:eastAsia="zh-CN"/>
              </w:rPr>
              <w:t>投标人存在下列情况之一的，投标无效：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vMerge w:val="continue"/>
          </w:tcPr>
          <w:p>
            <w:pPr>
              <w:widowControl w:val="0"/>
              <w:numPr>
                <w:ilvl w:val="0"/>
                <w:numId w:val="0"/>
              </w:numPr>
              <w:jc w:val="both"/>
              <w:rPr>
                <w:rFonts w:hint="eastAsia" w:ascii="方正楷体_GBK" w:hAnsi="方正楷体_GBK" w:eastAsia="方正楷体_GBK" w:cs="方正楷体_GBK"/>
                <w:sz w:val="21"/>
                <w:szCs w:val="21"/>
                <w:vertAlign w:val="baseline"/>
                <w:lang w:val="en-US" w:eastAsia="zh-CN"/>
              </w:rPr>
            </w:pPr>
          </w:p>
        </w:tc>
        <w:tc>
          <w:tcPr>
            <w:tcW w:w="2903" w:type="dxa"/>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jc w:val="center"/>
              <w:textAlignment w:val="auto"/>
              <w:rPr>
                <w:rFonts w:hint="eastAsia" w:ascii="方正楷体_GBK" w:hAnsi="方正楷体_GBK" w:eastAsia="方正楷体_GBK" w:cs="方正楷体_GBK"/>
                <w:sz w:val="21"/>
                <w:szCs w:val="21"/>
                <w:vertAlign w:val="baseline"/>
                <w:lang w:val="en-US" w:eastAsia="zh-CN"/>
              </w:rPr>
            </w:pPr>
            <w:r>
              <w:rPr>
                <w:rFonts w:hint="eastAsia" w:ascii="方正楷体_GBK" w:hAnsi="方正楷体_GBK" w:eastAsia="方正楷体_GBK" w:cs="方正楷体_GBK"/>
                <w:sz w:val="21"/>
                <w:szCs w:val="21"/>
              </w:rPr>
              <w:t>签署、盖章</w:t>
            </w:r>
          </w:p>
        </w:tc>
        <w:tc>
          <w:tcPr>
            <w:tcW w:w="2905" w:type="dxa"/>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jc w:val="left"/>
              <w:textAlignment w:val="auto"/>
              <w:rPr>
                <w:rFonts w:hint="eastAsia" w:ascii="方正楷体_GBK" w:hAnsi="方正楷体_GBK" w:eastAsia="方正楷体_GBK" w:cs="方正楷体_GBK"/>
                <w:sz w:val="21"/>
                <w:szCs w:val="21"/>
                <w:vertAlign w:val="baseline"/>
                <w:lang w:val="en-US" w:eastAsia="zh-CN"/>
              </w:rPr>
            </w:pPr>
            <w:r>
              <w:rPr>
                <w:rFonts w:hint="eastAsia" w:ascii="方正楷体_GBK" w:hAnsi="方正楷体_GBK" w:eastAsia="方正楷体_GBK" w:cs="方正楷体_GBK"/>
                <w:sz w:val="21"/>
                <w:szCs w:val="21"/>
              </w:rPr>
              <w:t>投标文件未按招标文件要求签署、盖章的；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vMerge w:val="continue"/>
          </w:tcPr>
          <w:p>
            <w:pPr>
              <w:widowControl w:val="0"/>
              <w:numPr>
                <w:ilvl w:val="0"/>
                <w:numId w:val="0"/>
              </w:numPr>
              <w:jc w:val="both"/>
              <w:rPr>
                <w:rFonts w:hint="eastAsia" w:ascii="方正楷体_GBK" w:hAnsi="方正楷体_GBK" w:eastAsia="方正楷体_GBK" w:cs="方正楷体_GBK"/>
                <w:sz w:val="21"/>
                <w:szCs w:val="21"/>
                <w:vertAlign w:val="baseline"/>
                <w:lang w:val="en-US" w:eastAsia="zh-CN"/>
              </w:rPr>
            </w:pPr>
          </w:p>
        </w:tc>
        <w:tc>
          <w:tcPr>
            <w:tcW w:w="2903" w:type="dxa"/>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jc w:val="center"/>
              <w:textAlignment w:val="auto"/>
              <w:rPr>
                <w:rFonts w:hint="eastAsia" w:ascii="方正楷体_GBK" w:hAnsi="方正楷体_GBK" w:eastAsia="方正楷体_GBK" w:cs="方正楷体_GBK"/>
                <w:sz w:val="21"/>
                <w:szCs w:val="21"/>
                <w:vertAlign w:val="baseline"/>
                <w:lang w:val="en-US" w:eastAsia="zh-CN"/>
              </w:rPr>
            </w:pPr>
            <w:r>
              <w:rPr>
                <w:rFonts w:hint="eastAsia" w:ascii="方正楷体_GBK" w:hAnsi="方正楷体_GBK" w:eastAsia="方正楷体_GBK" w:cs="方正楷体_GBK"/>
                <w:sz w:val="21"/>
                <w:szCs w:val="21"/>
              </w:rPr>
              <w:t>法定代表人身份证明书及法定代表人授权委托书</w:t>
            </w:r>
          </w:p>
        </w:tc>
        <w:tc>
          <w:tcPr>
            <w:tcW w:w="2905" w:type="dxa"/>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jc w:val="left"/>
              <w:textAlignment w:val="auto"/>
              <w:rPr>
                <w:rFonts w:hint="eastAsia" w:ascii="方正楷体_GBK" w:hAnsi="方正楷体_GBK" w:eastAsia="方正楷体_GBK" w:cs="方正楷体_GBK"/>
                <w:sz w:val="21"/>
                <w:szCs w:val="21"/>
                <w:vertAlign w:val="baseline"/>
                <w:lang w:val="en-US" w:eastAsia="zh-CN"/>
              </w:rPr>
            </w:pPr>
            <w:r>
              <w:rPr>
                <w:rFonts w:hint="eastAsia" w:ascii="方正楷体_GBK" w:hAnsi="方正楷体_GBK" w:eastAsia="方正楷体_GBK" w:cs="方正楷体_GBK"/>
                <w:sz w:val="21"/>
                <w:szCs w:val="21"/>
              </w:rPr>
              <w:t>投标文件未按招标文件要求签署、盖章的；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vMerge w:val="continue"/>
          </w:tcPr>
          <w:p>
            <w:pPr>
              <w:widowControl w:val="0"/>
              <w:numPr>
                <w:ilvl w:val="0"/>
                <w:numId w:val="0"/>
              </w:numPr>
              <w:jc w:val="both"/>
              <w:rPr>
                <w:rFonts w:hint="eastAsia" w:ascii="方正楷体_GBK" w:hAnsi="方正楷体_GBK" w:eastAsia="方正楷体_GBK" w:cs="方正楷体_GBK"/>
                <w:sz w:val="21"/>
                <w:szCs w:val="21"/>
                <w:vertAlign w:val="baseline"/>
                <w:lang w:val="en-US" w:eastAsia="zh-CN"/>
              </w:rPr>
            </w:pPr>
          </w:p>
        </w:tc>
        <w:tc>
          <w:tcPr>
            <w:tcW w:w="2903" w:type="dxa"/>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jc w:val="center"/>
              <w:textAlignment w:val="auto"/>
              <w:rPr>
                <w:rFonts w:hint="eastAsia" w:ascii="方正楷体_GBK" w:hAnsi="方正楷体_GBK" w:eastAsia="方正楷体_GBK" w:cs="方正楷体_GBK"/>
                <w:sz w:val="21"/>
                <w:szCs w:val="21"/>
                <w:vertAlign w:val="baseline"/>
                <w:lang w:val="en-US" w:eastAsia="zh-CN"/>
              </w:rPr>
            </w:pPr>
            <w:r>
              <w:rPr>
                <w:rFonts w:hint="eastAsia" w:ascii="方正楷体_GBK" w:hAnsi="方正楷体_GBK" w:eastAsia="方正楷体_GBK" w:cs="方正楷体_GBK"/>
                <w:sz w:val="21"/>
                <w:szCs w:val="21"/>
              </w:rPr>
              <w:t>投标报价</w:t>
            </w:r>
          </w:p>
        </w:tc>
        <w:tc>
          <w:tcPr>
            <w:tcW w:w="2905" w:type="dxa"/>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jc w:val="left"/>
              <w:textAlignment w:val="auto"/>
              <w:rPr>
                <w:rFonts w:hint="eastAsia" w:ascii="方正楷体_GBK" w:hAnsi="方正楷体_GBK" w:eastAsia="方正楷体_GBK" w:cs="方正楷体_GBK"/>
                <w:sz w:val="21"/>
                <w:szCs w:val="21"/>
                <w:vertAlign w:val="baseline"/>
                <w:lang w:val="en-US" w:eastAsia="zh-CN"/>
              </w:rPr>
            </w:pPr>
            <w:r>
              <w:rPr>
                <w:rFonts w:hint="eastAsia" w:ascii="方正楷体_GBK" w:hAnsi="方正楷体_GBK" w:eastAsia="方正楷体_GBK" w:cs="方正楷体_GBK"/>
                <w:sz w:val="21"/>
                <w:szCs w:val="21"/>
              </w:rPr>
              <w:t>投标报价超过招标文件中规定的预算金额或者最高限价的；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vMerge w:val="continue"/>
          </w:tcPr>
          <w:p>
            <w:pPr>
              <w:widowControl w:val="0"/>
              <w:numPr>
                <w:ilvl w:val="0"/>
                <w:numId w:val="0"/>
              </w:numPr>
              <w:jc w:val="both"/>
              <w:rPr>
                <w:rFonts w:hint="eastAsia" w:ascii="方正楷体_GBK" w:hAnsi="方正楷体_GBK" w:eastAsia="方正楷体_GBK" w:cs="方正楷体_GBK"/>
                <w:sz w:val="21"/>
                <w:szCs w:val="21"/>
                <w:vertAlign w:val="baseline"/>
                <w:lang w:val="en-US" w:eastAsia="zh-CN"/>
              </w:rPr>
            </w:pPr>
          </w:p>
        </w:tc>
        <w:tc>
          <w:tcPr>
            <w:tcW w:w="2903" w:type="dxa"/>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jc w:val="center"/>
              <w:textAlignment w:val="auto"/>
              <w:rPr>
                <w:rFonts w:hint="eastAsia" w:ascii="方正楷体_GBK" w:hAnsi="方正楷体_GBK" w:eastAsia="方正楷体_GBK" w:cs="方正楷体_GBK"/>
                <w:sz w:val="21"/>
                <w:szCs w:val="21"/>
                <w:vertAlign w:val="baseline"/>
                <w:lang w:val="en-US" w:eastAsia="zh-CN"/>
              </w:rPr>
            </w:pPr>
            <w:r>
              <w:rPr>
                <w:rFonts w:hint="eastAsia" w:ascii="方正楷体_GBK" w:hAnsi="方正楷体_GBK" w:eastAsia="方正楷体_GBK" w:cs="方正楷体_GBK"/>
                <w:sz w:val="21"/>
                <w:szCs w:val="21"/>
              </w:rPr>
              <w:t>不能接受的附加条件</w:t>
            </w:r>
          </w:p>
        </w:tc>
        <w:tc>
          <w:tcPr>
            <w:tcW w:w="2905" w:type="dxa"/>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jc w:val="left"/>
              <w:textAlignment w:val="auto"/>
              <w:rPr>
                <w:rFonts w:hint="eastAsia" w:ascii="方正楷体_GBK" w:hAnsi="方正楷体_GBK" w:eastAsia="方正楷体_GBK" w:cs="方正楷体_GBK"/>
                <w:sz w:val="21"/>
                <w:szCs w:val="21"/>
                <w:vertAlign w:val="baseline"/>
                <w:lang w:val="en-US" w:eastAsia="zh-CN"/>
              </w:rPr>
            </w:pPr>
            <w:r>
              <w:rPr>
                <w:rFonts w:hint="eastAsia" w:ascii="方正楷体_GBK" w:hAnsi="方正楷体_GBK" w:eastAsia="方正楷体_GBK" w:cs="方正楷体_GBK"/>
                <w:sz w:val="21"/>
                <w:szCs w:val="21"/>
              </w:rPr>
              <w:t>投标文件含有采购人不能接受的附加条件的;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vMerge w:val="continue"/>
          </w:tcPr>
          <w:p>
            <w:pPr>
              <w:widowControl w:val="0"/>
              <w:numPr>
                <w:ilvl w:val="0"/>
                <w:numId w:val="0"/>
              </w:numPr>
              <w:jc w:val="both"/>
              <w:rPr>
                <w:rFonts w:hint="eastAsia" w:ascii="方正楷体_GBK" w:hAnsi="方正楷体_GBK" w:eastAsia="方正楷体_GBK" w:cs="方正楷体_GBK"/>
                <w:sz w:val="21"/>
                <w:szCs w:val="21"/>
                <w:vertAlign w:val="baseline"/>
                <w:lang w:val="en-US" w:eastAsia="zh-CN"/>
              </w:rPr>
            </w:pPr>
          </w:p>
        </w:tc>
        <w:tc>
          <w:tcPr>
            <w:tcW w:w="2903" w:type="dxa"/>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jc w:val="center"/>
              <w:textAlignment w:val="auto"/>
              <w:rPr>
                <w:rFonts w:hint="eastAsia" w:ascii="方正楷体_GBK" w:hAnsi="方正楷体_GBK" w:eastAsia="方正楷体_GBK" w:cs="方正楷体_GBK"/>
                <w:sz w:val="21"/>
                <w:szCs w:val="21"/>
                <w:vertAlign w:val="baseline"/>
                <w:lang w:val="en-US" w:eastAsia="zh-CN"/>
              </w:rPr>
            </w:pPr>
            <w:r>
              <w:rPr>
                <w:rFonts w:hint="eastAsia" w:ascii="方正楷体_GBK" w:hAnsi="方正楷体_GBK" w:eastAsia="方正楷体_GBK" w:cs="方正楷体_GBK"/>
                <w:sz w:val="21"/>
                <w:szCs w:val="21"/>
              </w:rPr>
              <w:t>其它实质性条件</w:t>
            </w:r>
          </w:p>
        </w:tc>
        <w:tc>
          <w:tcPr>
            <w:tcW w:w="2905" w:type="dxa"/>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jc w:val="left"/>
              <w:textAlignment w:val="auto"/>
              <w:rPr>
                <w:rFonts w:hint="eastAsia" w:ascii="方正楷体_GBK" w:hAnsi="方正楷体_GBK" w:eastAsia="方正楷体_GBK" w:cs="方正楷体_GBK"/>
                <w:sz w:val="21"/>
                <w:szCs w:val="21"/>
                <w:vertAlign w:val="baseline"/>
                <w:lang w:val="en-US" w:eastAsia="zh-CN"/>
              </w:rPr>
            </w:pPr>
            <w:r>
              <w:rPr>
                <w:rFonts w:hint="eastAsia" w:ascii="方正楷体_GBK" w:hAnsi="方正楷体_GBK" w:eastAsia="方正楷体_GBK" w:cs="方正楷体_GBK"/>
                <w:sz w:val="21"/>
                <w:szCs w:val="21"/>
              </w:rPr>
              <w:t>未实质性响应招标文件中标注★条款内容的；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vMerge w:val="continue"/>
          </w:tcPr>
          <w:p>
            <w:pPr>
              <w:widowControl w:val="0"/>
              <w:numPr>
                <w:ilvl w:val="0"/>
                <w:numId w:val="0"/>
              </w:numPr>
              <w:jc w:val="both"/>
              <w:rPr>
                <w:rFonts w:hint="eastAsia" w:ascii="方正楷体_GBK" w:hAnsi="方正楷体_GBK" w:eastAsia="方正楷体_GBK" w:cs="方正楷体_GBK"/>
                <w:sz w:val="21"/>
                <w:szCs w:val="21"/>
                <w:vertAlign w:val="baseline"/>
                <w:lang w:val="en-US" w:eastAsia="zh-CN"/>
              </w:rPr>
            </w:pPr>
          </w:p>
        </w:tc>
        <w:tc>
          <w:tcPr>
            <w:tcW w:w="2903" w:type="dxa"/>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jc w:val="center"/>
              <w:textAlignment w:val="auto"/>
              <w:rPr>
                <w:rFonts w:hint="eastAsia" w:ascii="方正楷体_GBK" w:hAnsi="方正楷体_GBK" w:eastAsia="方正楷体_GBK" w:cs="方正楷体_GBK"/>
                <w:sz w:val="21"/>
                <w:szCs w:val="21"/>
                <w:vertAlign w:val="baseline"/>
                <w:lang w:val="en-US" w:eastAsia="zh-CN"/>
              </w:rPr>
            </w:pPr>
            <w:r>
              <w:rPr>
                <w:rFonts w:hint="eastAsia" w:ascii="方正楷体_GBK" w:hAnsi="方正楷体_GBK" w:eastAsia="方正楷体_GBK" w:cs="方正楷体_GBK"/>
                <w:sz w:val="21"/>
                <w:szCs w:val="21"/>
              </w:rPr>
              <w:t>其他无效情形</w:t>
            </w:r>
          </w:p>
        </w:tc>
        <w:tc>
          <w:tcPr>
            <w:tcW w:w="2905" w:type="dxa"/>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jc w:val="left"/>
              <w:textAlignment w:val="auto"/>
              <w:rPr>
                <w:rFonts w:hint="eastAsia" w:ascii="方正楷体_GBK" w:hAnsi="方正楷体_GBK" w:eastAsia="方正楷体_GBK" w:cs="方正楷体_GBK"/>
                <w:sz w:val="21"/>
                <w:szCs w:val="21"/>
                <w:vertAlign w:val="baseline"/>
                <w:lang w:val="en-US" w:eastAsia="zh-CN"/>
              </w:rPr>
            </w:pPr>
            <w:r>
              <w:rPr>
                <w:rFonts w:hint="eastAsia" w:ascii="方正楷体_GBK" w:hAnsi="方正楷体_GBK" w:eastAsia="方正楷体_GBK" w:cs="方正楷体_GBK"/>
                <w:sz w:val="21"/>
                <w:szCs w:val="21"/>
              </w:rPr>
              <w:t>法律、法规和招标文件规定的其他无效情形。</w:t>
            </w:r>
          </w:p>
        </w:tc>
      </w:tr>
    </w:tbl>
    <w:p>
      <w:pPr>
        <w:widowControl w:val="0"/>
        <w:numPr>
          <w:ilvl w:val="0"/>
          <w:numId w:val="0"/>
        </w:numPr>
        <w:jc w:val="both"/>
        <w:rPr>
          <w:rFonts w:hint="eastAsia" w:ascii="方正仿宋_GBK" w:hAnsi="方正仿宋_GBK" w:eastAsia="方正仿宋_GBK" w:cs="方正仿宋_GBK"/>
          <w:sz w:val="32"/>
          <w:szCs w:val="32"/>
          <w:lang w:val="en-US" w:eastAsia="zh-CN"/>
        </w:rPr>
      </w:pPr>
    </w:p>
    <w:tbl>
      <w:tblPr>
        <w:tblStyle w:val="3"/>
        <w:tblW w:w="87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713"/>
        <w:gridCol w:w="6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pPr>
              <w:widowControl w:val="0"/>
              <w:numPr>
                <w:ilvl w:val="0"/>
                <w:numId w:val="0"/>
              </w:numPr>
              <w:jc w:val="both"/>
              <w:rPr>
                <w:rFonts w:hint="eastAsia" w:ascii="方正楷体_GBK" w:hAnsi="方正楷体_GBK" w:eastAsia="方正楷体_GBK" w:cs="方正楷体_GBK"/>
                <w:sz w:val="21"/>
                <w:szCs w:val="21"/>
                <w:vertAlign w:val="baseline"/>
                <w:lang w:val="en-US" w:eastAsia="zh-CN"/>
              </w:rPr>
            </w:pPr>
            <w:r>
              <w:rPr>
                <w:rFonts w:hint="eastAsia" w:ascii="方正楷体_GBK" w:hAnsi="方正楷体_GBK" w:eastAsia="方正楷体_GBK" w:cs="方正楷体_GBK"/>
                <w:sz w:val="21"/>
                <w:szCs w:val="21"/>
                <w:vertAlign w:val="baseline"/>
                <w:lang w:val="en-US" w:eastAsia="zh-CN"/>
              </w:rPr>
              <w:t>评审程序</w:t>
            </w:r>
          </w:p>
        </w:tc>
        <w:tc>
          <w:tcPr>
            <w:tcW w:w="713" w:type="dxa"/>
          </w:tcPr>
          <w:p>
            <w:pPr>
              <w:widowControl w:val="0"/>
              <w:numPr>
                <w:ilvl w:val="0"/>
                <w:numId w:val="0"/>
              </w:numPr>
              <w:jc w:val="both"/>
              <w:rPr>
                <w:rFonts w:hint="eastAsia" w:ascii="方正楷体_GBK" w:hAnsi="方正楷体_GBK" w:eastAsia="方正楷体_GBK" w:cs="方正楷体_GBK"/>
                <w:sz w:val="21"/>
                <w:szCs w:val="21"/>
                <w:vertAlign w:val="baseline"/>
                <w:lang w:val="en-US" w:eastAsia="zh-CN"/>
              </w:rPr>
            </w:pPr>
          </w:p>
        </w:tc>
        <w:tc>
          <w:tcPr>
            <w:tcW w:w="6412" w:type="dxa"/>
          </w:tcPr>
          <w:p>
            <w:pPr>
              <w:widowControl w:val="0"/>
              <w:numPr>
                <w:ilvl w:val="0"/>
                <w:numId w:val="0"/>
              </w:numPr>
              <w:jc w:val="both"/>
              <w:rPr>
                <w:rFonts w:hint="eastAsia" w:ascii="方正楷体_GBK" w:hAnsi="方正楷体_GBK" w:eastAsia="方正楷体_GBK" w:cs="方正楷体_GBK"/>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restart"/>
          </w:tcPr>
          <w:p>
            <w:pPr>
              <w:widowControl w:val="0"/>
              <w:numPr>
                <w:ilvl w:val="0"/>
                <w:numId w:val="0"/>
              </w:numPr>
              <w:jc w:val="both"/>
              <w:rPr>
                <w:rFonts w:hint="eastAsia" w:ascii="方正楷体_GBK" w:hAnsi="方正楷体_GBK" w:eastAsia="方正楷体_GBK" w:cs="方正楷体_GBK"/>
                <w:sz w:val="21"/>
                <w:szCs w:val="21"/>
                <w:vertAlign w:val="baseline"/>
                <w:lang w:val="en-US" w:eastAsia="zh-CN"/>
              </w:rPr>
            </w:pPr>
            <w:r>
              <w:rPr>
                <w:rFonts w:hint="eastAsia" w:ascii="方正楷体_GBK" w:hAnsi="方正楷体_GBK" w:eastAsia="方正楷体_GBK" w:cs="方正楷体_GBK"/>
                <w:sz w:val="21"/>
                <w:szCs w:val="21"/>
                <w:vertAlign w:val="baseline"/>
                <w:lang w:val="en-US" w:eastAsia="zh-CN"/>
              </w:rPr>
              <w:t>资格评审标准</w:t>
            </w:r>
          </w:p>
        </w:tc>
        <w:tc>
          <w:tcPr>
            <w:tcW w:w="7125" w:type="dxa"/>
            <w:gridSpan w:val="2"/>
            <w:vAlign w:val="top"/>
          </w:tcPr>
          <w:p>
            <w:pPr>
              <w:widowControl w:val="0"/>
              <w:numPr>
                <w:ilvl w:val="0"/>
                <w:numId w:val="0"/>
              </w:numPr>
              <w:jc w:val="left"/>
              <w:rPr>
                <w:rFonts w:hint="eastAsia" w:ascii="方正楷体_GBK" w:hAnsi="方正楷体_GBK" w:eastAsia="方正楷体_GBK" w:cs="方正楷体_GBK"/>
                <w:sz w:val="21"/>
                <w:szCs w:val="21"/>
                <w:vertAlign w:val="baseline"/>
                <w:lang w:val="en-US" w:eastAsia="zh-CN"/>
              </w:rPr>
            </w:pPr>
            <w:r>
              <w:rPr>
                <w:rFonts w:hint="eastAsia" w:ascii="方正楷体_GBK" w:hAnsi="方正楷体_GBK" w:eastAsia="方正楷体_GBK" w:cs="方正楷体_GBK"/>
                <w:sz w:val="21"/>
                <w:szCs w:val="21"/>
                <w:vertAlign w:val="baseline"/>
                <w:lang w:val="en-US" w:eastAsia="zh-CN"/>
              </w:rPr>
              <w:t>投标人应具备《中华人民共和国政府采购法》第二十二条规定的条件，并提供下列材料：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continue"/>
          </w:tcPr>
          <w:p>
            <w:pPr>
              <w:widowControl w:val="0"/>
              <w:numPr>
                <w:ilvl w:val="0"/>
                <w:numId w:val="0"/>
              </w:numPr>
              <w:jc w:val="both"/>
              <w:rPr>
                <w:rFonts w:hint="eastAsia" w:ascii="方正楷体_GBK" w:hAnsi="方正楷体_GBK" w:eastAsia="方正楷体_GBK" w:cs="方正楷体_GBK"/>
                <w:sz w:val="21"/>
                <w:szCs w:val="21"/>
                <w:vertAlign w:val="baseline"/>
                <w:lang w:val="en-US" w:eastAsia="zh-CN"/>
              </w:rPr>
            </w:pPr>
          </w:p>
        </w:tc>
        <w:tc>
          <w:tcPr>
            <w:tcW w:w="713" w:type="dxa"/>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jc w:val="center"/>
              <w:textAlignment w:val="auto"/>
              <w:rPr>
                <w:rFonts w:hint="default" w:ascii="方正楷体_GBK" w:hAnsi="方正楷体_GBK" w:eastAsia="方正楷体_GBK" w:cs="方正楷体_GBK"/>
                <w:sz w:val="21"/>
                <w:szCs w:val="21"/>
                <w:vertAlign w:val="baseline"/>
                <w:lang w:val="en-US" w:eastAsia="zh-CN"/>
              </w:rPr>
            </w:pPr>
            <w:r>
              <w:rPr>
                <w:rFonts w:hint="eastAsia" w:ascii="方正楷体_GBK" w:hAnsi="方正楷体_GBK" w:eastAsia="方正楷体_GBK" w:cs="方正楷体_GBK"/>
                <w:sz w:val="21"/>
                <w:szCs w:val="21"/>
                <w:vertAlign w:val="baseline"/>
                <w:lang w:val="en-US" w:eastAsia="zh-CN"/>
              </w:rPr>
              <w:t>1</w:t>
            </w:r>
          </w:p>
        </w:tc>
        <w:tc>
          <w:tcPr>
            <w:tcW w:w="6412" w:type="dxa"/>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left"/>
              <w:textAlignment w:val="auto"/>
              <w:rPr>
                <w:rFonts w:hint="eastAsia" w:ascii="方正楷体_GBK" w:hAnsi="方正楷体_GBK" w:eastAsia="方正楷体_GBK" w:cs="方正楷体_GBK"/>
                <w:sz w:val="21"/>
                <w:szCs w:val="21"/>
                <w:vertAlign w:val="baseline"/>
                <w:lang w:val="en-US" w:eastAsia="zh-CN"/>
              </w:rPr>
            </w:pPr>
            <w:r>
              <w:rPr>
                <w:rFonts w:hint="eastAsia" w:ascii="华文楷体" w:hAnsi="华文楷体" w:eastAsia="华文楷体" w:cs="华文楷体"/>
                <w:sz w:val="24"/>
                <w:szCs w:val="24"/>
              </w:rPr>
              <w:t>投标人必须具备独立承担民事责任的能力，提供法人或者其他组织的营业执照等证明文件；投标人是自然人的，提供自然人身份证明（扫描件加盖电子公章）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continue"/>
          </w:tcPr>
          <w:p>
            <w:pPr>
              <w:widowControl w:val="0"/>
              <w:numPr>
                <w:ilvl w:val="0"/>
                <w:numId w:val="0"/>
              </w:numPr>
              <w:jc w:val="both"/>
              <w:rPr>
                <w:rFonts w:hint="eastAsia" w:ascii="方正楷体_GBK" w:hAnsi="方正楷体_GBK" w:eastAsia="方正楷体_GBK" w:cs="方正楷体_GBK"/>
                <w:sz w:val="21"/>
                <w:szCs w:val="21"/>
                <w:vertAlign w:val="baseline"/>
                <w:lang w:val="en-US" w:eastAsia="zh-CN"/>
              </w:rPr>
            </w:pPr>
          </w:p>
        </w:tc>
        <w:tc>
          <w:tcPr>
            <w:tcW w:w="713" w:type="dxa"/>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jc w:val="center"/>
              <w:textAlignment w:val="auto"/>
              <w:rPr>
                <w:rFonts w:hint="default" w:ascii="方正楷体_GBK" w:hAnsi="方正楷体_GBK" w:eastAsia="方正楷体_GBK" w:cs="方正楷体_GBK"/>
                <w:sz w:val="21"/>
                <w:szCs w:val="21"/>
                <w:vertAlign w:val="baseline"/>
                <w:lang w:val="en-US" w:eastAsia="zh-CN"/>
              </w:rPr>
            </w:pPr>
            <w:r>
              <w:rPr>
                <w:rFonts w:hint="eastAsia" w:ascii="方正楷体_GBK" w:hAnsi="方正楷体_GBK" w:eastAsia="方正楷体_GBK" w:cs="方正楷体_GBK"/>
                <w:sz w:val="21"/>
                <w:szCs w:val="21"/>
                <w:vertAlign w:val="baseline"/>
                <w:lang w:val="en-US" w:eastAsia="zh-CN"/>
              </w:rPr>
              <w:t>2</w:t>
            </w:r>
          </w:p>
        </w:tc>
        <w:tc>
          <w:tcPr>
            <w:tcW w:w="6412" w:type="dxa"/>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left"/>
              <w:textAlignment w:val="auto"/>
              <w:rPr>
                <w:rFonts w:hint="eastAsia" w:ascii="方正楷体_GBK" w:hAnsi="方正楷体_GBK" w:eastAsia="方正楷体_GBK" w:cs="方正楷体_GBK"/>
                <w:sz w:val="21"/>
                <w:szCs w:val="21"/>
                <w:vertAlign w:val="baseline"/>
                <w:lang w:val="en-US" w:eastAsia="zh-CN"/>
              </w:rPr>
            </w:pPr>
            <w:r>
              <w:rPr>
                <w:rFonts w:hint="eastAsia" w:ascii="华文楷体" w:hAnsi="华文楷体" w:eastAsia="华文楷体" w:cs="华文楷体"/>
                <w:sz w:val="24"/>
                <w:szCs w:val="24"/>
              </w:rPr>
              <w:t>投标人须提供财务状况报告，内容可为以下</w:t>
            </w:r>
            <w:r>
              <w:rPr>
                <w:rFonts w:hint="eastAsia" w:ascii="华文楷体" w:hAnsi="华文楷体" w:eastAsia="华文楷体" w:cs="华文楷体"/>
                <w:sz w:val="24"/>
                <w:szCs w:val="24"/>
                <w:highlight w:val="yellow"/>
              </w:rPr>
              <w:t>三者之一</w:t>
            </w:r>
            <w:r>
              <w:rPr>
                <w:rFonts w:hint="eastAsia" w:ascii="华文楷体" w:hAnsi="华文楷体" w:eastAsia="华文楷体" w:cs="华文楷体"/>
                <w:sz w:val="24"/>
                <w:szCs w:val="24"/>
              </w:rPr>
              <w:t>：1）近三个月内基本开户银行出具的资信证明（扫描件加盖电子公章）2）201</w:t>
            </w:r>
            <w:r>
              <w:rPr>
                <w:rFonts w:hint="eastAsia" w:ascii="华文楷体" w:hAnsi="华文楷体" w:eastAsia="华文楷体" w:cs="华文楷体"/>
                <w:sz w:val="24"/>
                <w:szCs w:val="24"/>
                <w:lang w:val="en-US" w:eastAsia="zh-CN"/>
              </w:rPr>
              <w:t>9</w:t>
            </w:r>
            <w:r>
              <w:rPr>
                <w:rFonts w:hint="eastAsia" w:ascii="华文楷体" w:hAnsi="华文楷体" w:eastAsia="华文楷体" w:cs="华文楷体"/>
                <w:sz w:val="24"/>
                <w:szCs w:val="24"/>
              </w:rPr>
              <w:t>年-202</w:t>
            </w:r>
            <w:r>
              <w:rPr>
                <w:rFonts w:hint="eastAsia" w:ascii="华文楷体" w:hAnsi="华文楷体" w:eastAsia="华文楷体" w:cs="华文楷体"/>
                <w:sz w:val="24"/>
                <w:szCs w:val="24"/>
                <w:lang w:val="en-US" w:eastAsia="zh-CN"/>
              </w:rPr>
              <w:t>2</w:t>
            </w:r>
            <w:r>
              <w:rPr>
                <w:rFonts w:hint="eastAsia" w:ascii="华文楷体" w:hAnsi="华文楷体" w:eastAsia="华文楷体" w:cs="华文楷体"/>
                <w:sz w:val="24"/>
                <w:szCs w:val="24"/>
              </w:rPr>
              <w:t>年任意一年度经审计的财务审计报告，包括“四表一注”，即资产负债表、利润表、现金流量表、所有者权益变动表及其附注（扫描件加盖电子公章）；3）财政部门认可的政府采购专业担保机构出具的投标担保函，须同时提供专业担保机构经财政部门认可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continue"/>
          </w:tcPr>
          <w:p>
            <w:pPr>
              <w:widowControl w:val="0"/>
              <w:numPr>
                <w:ilvl w:val="0"/>
                <w:numId w:val="0"/>
              </w:numPr>
              <w:jc w:val="both"/>
              <w:rPr>
                <w:rFonts w:hint="eastAsia" w:ascii="方正楷体_GBK" w:hAnsi="方正楷体_GBK" w:eastAsia="方正楷体_GBK" w:cs="方正楷体_GBK"/>
                <w:sz w:val="21"/>
                <w:szCs w:val="21"/>
                <w:vertAlign w:val="baseline"/>
                <w:lang w:val="en-US" w:eastAsia="zh-CN"/>
              </w:rPr>
            </w:pPr>
          </w:p>
        </w:tc>
        <w:tc>
          <w:tcPr>
            <w:tcW w:w="713" w:type="dxa"/>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jc w:val="center"/>
              <w:textAlignment w:val="auto"/>
              <w:rPr>
                <w:rFonts w:hint="default" w:ascii="方正楷体_GBK" w:hAnsi="方正楷体_GBK" w:eastAsia="方正楷体_GBK" w:cs="方正楷体_GBK"/>
                <w:sz w:val="21"/>
                <w:szCs w:val="21"/>
                <w:vertAlign w:val="baseline"/>
                <w:lang w:val="en-US" w:eastAsia="zh-CN"/>
              </w:rPr>
            </w:pPr>
            <w:r>
              <w:rPr>
                <w:rFonts w:hint="eastAsia" w:ascii="方正楷体_GBK" w:hAnsi="方正楷体_GBK" w:eastAsia="方正楷体_GBK" w:cs="方正楷体_GBK"/>
                <w:sz w:val="21"/>
                <w:szCs w:val="21"/>
                <w:vertAlign w:val="baseline"/>
                <w:lang w:val="en-US" w:eastAsia="zh-CN"/>
              </w:rPr>
              <w:t>3</w:t>
            </w:r>
          </w:p>
        </w:tc>
        <w:tc>
          <w:tcPr>
            <w:tcW w:w="6412" w:type="dxa"/>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left"/>
              <w:textAlignment w:val="auto"/>
              <w:rPr>
                <w:rFonts w:hint="eastAsia" w:ascii="方正楷体_GBK" w:hAnsi="方正楷体_GBK" w:eastAsia="方正楷体_GBK" w:cs="方正楷体_GBK"/>
                <w:sz w:val="21"/>
                <w:szCs w:val="21"/>
                <w:vertAlign w:val="baseline"/>
                <w:lang w:val="en-US" w:eastAsia="zh-CN"/>
              </w:rPr>
            </w:pPr>
            <w:r>
              <w:rPr>
                <w:rFonts w:hint="eastAsia" w:ascii="华文楷体" w:hAnsi="华文楷体" w:eastAsia="华文楷体" w:cs="华文楷体"/>
                <w:sz w:val="24"/>
                <w:szCs w:val="24"/>
              </w:rPr>
              <w:t>纳税证明材料的时间范围：缴税所属时间在202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年</w:t>
            </w:r>
            <w:r>
              <w:rPr>
                <w:rFonts w:hint="eastAsia" w:ascii="华文楷体" w:hAnsi="华文楷体" w:eastAsia="华文楷体" w:cs="华文楷体"/>
                <w:sz w:val="24"/>
                <w:szCs w:val="24"/>
                <w:u w:val="single"/>
              </w:rPr>
              <w:t>1</w:t>
            </w:r>
            <w:r>
              <w:rPr>
                <w:rFonts w:hint="eastAsia" w:ascii="华文楷体" w:hAnsi="华文楷体" w:eastAsia="华文楷体" w:cs="华文楷体"/>
                <w:sz w:val="24"/>
                <w:szCs w:val="24"/>
              </w:rPr>
              <w:t>月至投标截止日期前</w:t>
            </w:r>
            <w:r>
              <w:rPr>
                <w:rFonts w:hint="eastAsia" w:ascii="华文楷体" w:hAnsi="华文楷体" w:eastAsia="华文楷体" w:cs="华文楷体"/>
                <w:sz w:val="24"/>
                <w:szCs w:val="24"/>
                <w:highlight w:val="yellow"/>
              </w:rPr>
              <w:t>任意连续2个月</w:t>
            </w:r>
            <w:r>
              <w:rPr>
                <w:rFonts w:hint="eastAsia" w:ascii="华文楷体" w:hAnsi="华文楷体" w:eastAsia="华文楷体" w:cs="华文楷体"/>
                <w:sz w:val="24"/>
                <w:szCs w:val="24"/>
              </w:rPr>
              <w:t>的税务局税收通用缴款书扫描件或银行电子缴税（费）凭证扫描件或税务局出具纳税情况的相关证明扫描件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continue"/>
          </w:tcPr>
          <w:p>
            <w:pPr>
              <w:widowControl w:val="0"/>
              <w:numPr>
                <w:ilvl w:val="0"/>
                <w:numId w:val="0"/>
              </w:numPr>
              <w:jc w:val="both"/>
              <w:rPr>
                <w:rFonts w:hint="eastAsia" w:ascii="方正楷体_GBK" w:hAnsi="方正楷体_GBK" w:eastAsia="方正楷体_GBK" w:cs="方正楷体_GBK"/>
                <w:sz w:val="21"/>
                <w:szCs w:val="21"/>
                <w:vertAlign w:val="baseline"/>
                <w:lang w:val="en-US" w:eastAsia="zh-CN"/>
              </w:rPr>
            </w:pPr>
          </w:p>
        </w:tc>
        <w:tc>
          <w:tcPr>
            <w:tcW w:w="713" w:type="dxa"/>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jc w:val="center"/>
              <w:textAlignment w:val="auto"/>
              <w:rPr>
                <w:rFonts w:hint="default" w:ascii="方正楷体_GBK" w:hAnsi="方正楷体_GBK" w:eastAsia="方正楷体_GBK" w:cs="方正楷体_GBK"/>
                <w:sz w:val="21"/>
                <w:szCs w:val="21"/>
                <w:vertAlign w:val="baseline"/>
                <w:lang w:val="en-US" w:eastAsia="zh-CN"/>
              </w:rPr>
            </w:pPr>
            <w:r>
              <w:rPr>
                <w:rFonts w:hint="eastAsia" w:ascii="方正楷体_GBK" w:hAnsi="方正楷体_GBK" w:eastAsia="方正楷体_GBK" w:cs="方正楷体_GBK"/>
                <w:sz w:val="21"/>
                <w:szCs w:val="21"/>
                <w:vertAlign w:val="baseline"/>
                <w:lang w:val="en-US" w:eastAsia="zh-CN"/>
              </w:rPr>
              <w:t>4</w:t>
            </w:r>
          </w:p>
        </w:tc>
        <w:tc>
          <w:tcPr>
            <w:tcW w:w="6412" w:type="dxa"/>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left"/>
              <w:textAlignment w:val="auto"/>
              <w:rPr>
                <w:rFonts w:hint="eastAsia" w:ascii="方正楷体_GBK" w:hAnsi="方正楷体_GBK" w:eastAsia="方正楷体_GBK" w:cs="方正楷体_GBK"/>
                <w:sz w:val="21"/>
                <w:szCs w:val="21"/>
                <w:vertAlign w:val="baseline"/>
                <w:lang w:val="en-US" w:eastAsia="zh-CN"/>
              </w:rPr>
            </w:pPr>
            <w:r>
              <w:rPr>
                <w:rFonts w:hint="eastAsia" w:ascii="华文楷体" w:hAnsi="华文楷体" w:eastAsia="华文楷体" w:cs="华文楷体"/>
                <w:sz w:val="24"/>
                <w:szCs w:val="24"/>
              </w:rPr>
              <w:t>缴纳社会保险证明材料的时间范围：缴费所属时间在202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年</w:t>
            </w:r>
            <w:r>
              <w:rPr>
                <w:rFonts w:hint="eastAsia" w:ascii="华文楷体" w:hAnsi="华文楷体" w:eastAsia="华文楷体" w:cs="华文楷体"/>
                <w:sz w:val="24"/>
                <w:szCs w:val="24"/>
                <w:u w:val="single"/>
              </w:rPr>
              <w:t>1</w:t>
            </w:r>
            <w:r>
              <w:rPr>
                <w:rFonts w:hint="eastAsia" w:ascii="华文楷体" w:hAnsi="华文楷体" w:eastAsia="华文楷体" w:cs="华文楷体"/>
                <w:sz w:val="24"/>
                <w:szCs w:val="24"/>
              </w:rPr>
              <w:t>月至投标截止日期前</w:t>
            </w:r>
            <w:r>
              <w:rPr>
                <w:rFonts w:hint="eastAsia" w:ascii="华文楷体" w:hAnsi="华文楷体" w:eastAsia="华文楷体" w:cs="华文楷体"/>
                <w:sz w:val="24"/>
                <w:szCs w:val="24"/>
                <w:highlight w:val="yellow"/>
              </w:rPr>
              <w:t>任意连续2个月</w:t>
            </w:r>
            <w:r>
              <w:rPr>
                <w:rFonts w:hint="eastAsia" w:ascii="华文楷体" w:hAnsi="华文楷体" w:eastAsia="华文楷体" w:cs="华文楷体"/>
                <w:sz w:val="24"/>
                <w:szCs w:val="24"/>
              </w:rPr>
              <w:t>的社会保险费缴款书扫描件或银行电子缴税（费）凭证扫描件或社保管理部门出具的有效的缴款证明扫描件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continue"/>
          </w:tcPr>
          <w:p>
            <w:pPr>
              <w:widowControl w:val="0"/>
              <w:numPr>
                <w:ilvl w:val="0"/>
                <w:numId w:val="0"/>
              </w:numPr>
              <w:jc w:val="both"/>
              <w:rPr>
                <w:rFonts w:hint="eastAsia" w:ascii="方正楷体_GBK" w:hAnsi="方正楷体_GBK" w:eastAsia="方正楷体_GBK" w:cs="方正楷体_GBK"/>
                <w:sz w:val="21"/>
                <w:szCs w:val="21"/>
                <w:vertAlign w:val="baseline"/>
                <w:lang w:val="en-US" w:eastAsia="zh-CN"/>
              </w:rPr>
            </w:pPr>
          </w:p>
        </w:tc>
        <w:tc>
          <w:tcPr>
            <w:tcW w:w="713" w:type="dxa"/>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jc w:val="center"/>
              <w:textAlignment w:val="auto"/>
              <w:rPr>
                <w:rFonts w:hint="default" w:ascii="方正楷体_GBK" w:hAnsi="方正楷体_GBK" w:eastAsia="方正楷体_GBK" w:cs="方正楷体_GBK"/>
                <w:sz w:val="21"/>
                <w:szCs w:val="21"/>
                <w:vertAlign w:val="baseline"/>
                <w:lang w:val="en-US" w:eastAsia="zh-CN"/>
              </w:rPr>
            </w:pPr>
            <w:r>
              <w:rPr>
                <w:rFonts w:hint="eastAsia" w:ascii="方正楷体_GBK" w:hAnsi="方正楷体_GBK" w:eastAsia="方正楷体_GBK" w:cs="方正楷体_GBK"/>
                <w:sz w:val="21"/>
                <w:szCs w:val="21"/>
                <w:vertAlign w:val="baseline"/>
                <w:lang w:val="en-US" w:eastAsia="zh-CN"/>
              </w:rPr>
              <w:t>5</w:t>
            </w:r>
          </w:p>
        </w:tc>
        <w:tc>
          <w:tcPr>
            <w:tcW w:w="6412" w:type="dxa"/>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left"/>
              <w:textAlignment w:val="auto"/>
              <w:rPr>
                <w:rFonts w:hint="eastAsia" w:ascii="方正楷体_GBK" w:hAnsi="方正楷体_GBK" w:eastAsia="方正楷体_GBK" w:cs="方正楷体_GBK"/>
                <w:sz w:val="21"/>
                <w:szCs w:val="21"/>
                <w:vertAlign w:val="baseline"/>
                <w:lang w:val="en-US" w:eastAsia="zh-CN"/>
              </w:rPr>
            </w:pPr>
            <w:r>
              <w:rPr>
                <w:rFonts w:hint="eastAsia" w:ascii="华文楷体" w:hAnsi="华文楷体" w:eastAsia="华文楷体" w:cs="华文楷体"/>
                <w:sz w:val="24"/>
                <w:szCs w:val="24"/>
              </w:rPr>
              <w:t>投标人须提供具备履行合同所必需的设备和专业技术能力的证明材料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Merge w:val="continue"/>
          </w:tcPr>
          <w:p>
            <w:pPr>
              <w:widowControl w:val="0"/>
              <w:numPr>
                <w:ilvl w:val="0"/>
                <w:numId w:val="0"/>
              </w:numPr>
              <w:jc w:val="both"/>
              <w:rPr>
                <w:rFonts w:hint="eastAsia" w:ascii="方正楷体_GBK" w:hAnsi="方正楷体_GBK" w:eastAsia="方正楷体_GBK" w:cs="方正楷体_GBK"/>
                <w:sz w:val="21"/>
                <w:szCs w:val="21"/>
                <w:vertAlign w:val="baseline"/>
                <w:lang w:val="en-US" w:eastAsia="zh-CN"/>
              </w:rPr>
            </w:pPr>
          </w:p>
        </w:tc>
        <w:tc>
          <w:tcPr>
            <w:tcW w:w="713" w:type="dxa"/>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jc w:val="center"/>
              <w:textAlignment w:val="auto"/>
              <w:rPr>
                <w:rFonts w:hint="default" w:ascii="方正楷体_GBK" w:hAnsi="方正楷体_GBK" w:eastAsia="方正楷体_GBK" w:cs="方正楷体_GBK"/>
                <w:sz w:val="21"/>
                <w:szCs w:val="21"/>
                <w:vertAlign w:val="baseline"/>
                <w:lang w:val="en-US" w:eastAsia="zh-CN"/>
              </w:rPr>
            </w:pPr>
            <w:r>
              <w:rPr>
                <w:rFonts w:hint="eastAsia" w:ascii="方正楷体_GBK" w:hAnsi="方正楷体_GBK" w:eastAsia="方正楷体_GBK" w:cs="方正楷体_GBK"/>
                <w:sz w:val="21"/>
                <w:szCs w:val="21"/>
                <w:vertAlign w:val="baseline"/>
                <w:lang w:val="en-US" w:eastAsia="zh-CN"/>
              </w:rPr>
              <w:t>6</w:t>
            </w:r>
          </w:p>
        </w:tc>
        <w:tc>
          <w:tcPr>
            <w:tcW w:w="6412" w:type="dxa"/>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left"/>
              <w:textAlignment w:val="auto"/>
              <w:rPr>
                <w:rFonts w:hint="eastAsia" w:ascii="方正楷体_GBK" w:hAnsi="方正楷体_GBK" w:eastAsia="方正楷体_GBK" w:cs="方正楷体_GBK"/>
                <w:sz w:val="21"/>
                <w:szCs w:val="21"/>
                <w:vertAlign w:val="baseline"/>
                <w:lang w:val="en-US" w:eastAsia="zh-CN"/>
              </w:rPr>
            </w:pPr>
            <w:r>
              <w:rPr>
                <w:rFonts w:hint="eastAsia" w:ascii="华文楷体" w:hAnsi="华文楷体" w:eastAsia="华文楷体" w:cs="华文楷体"/>
                <w:sz w:val="24"/>
                <w:szCs w:val="24"/>
              </w:rPr>
              <w:t>投标人必须提供参加政府采购活动前3年内在经营活动中没有重大违法记录的书面声明（重大违法记录，是指供应商因违法经营受到刑事处罚或者责令停产停业、吊销许可证或者执照、较大数额罚款等行政处罚）</w:t>
            </w:r>
          </w:p>
        </w:tc>
      </w:tr>
    </w:tbl>
    <w:p>
      <w:pPr>
        <w:widowControl w:val="0"/>
        <w:numPr>
          <w:ilvl w:val="0"/>
          <w:numId w:val="0"/>
        </w:numPr>
        <w:jc w:val="both"/>
        <w:rPr>
          <w:rFonts w:hint="eastAsia" w:ascii="方正仿宋_GBK" w:hAnsi="方正仿宋_GBK" w:eastAsia="方正仿宋_GBK" w:cs="方正仿宋_GBK"/>
          <w:sz w:val="32"/>
          <w:szCs w:val="32"/>
          <w:lang w:val="en-US" w:eastAsia="zh-CN"/>
        </w:rPr>
      </w:pPr>
    </w:p>
    <w:p>
      <w:pPr>
        <w:widowControl w:val="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详细评审：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（1）报价部分（0～30分）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评标基准价等于所有通过初步审查供应商最终报价的最低值；</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投标报价计算得分=(评标基准价／投标报价)×</w:t>
      </w:r>
      <w:r>
        <w:rPr>
          <w:rFonts w:hint="eastAsia" w:ascii="方正仿宋_GBK" w:hAnsi="方正仿宋_GBK" w:eastAsia="方正仿宋_GBK" w:cs="方正仿宋_GBK"/>
          <w:sz w:val="32"/>
          <w:szCs w:val="32"/>
          <w:lang w:val="en-US" w:eastAsia="zh-CN"/>
        </w:rPr>
        <w:t>30</w:t>
      </w:r>
      <w:r>
        <w:rPr>
          <w:rFonts w:hint="default" w:ascii="方正仿宋_GBK" w:hAnsi="方正仿宋_GBK" w:eastAsia="方正仿宋_GBK" w:cs="方正仿宋_GBK"/>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（2）设计方案部分（0～30分）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a.根据拟建廉政文化墙提交设计制作方案，包括设计图稿、选材用料、设计制作费用，设计图稿美观大方，选材用料合理、符合要求，费用报价合理（25～30分）；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b. 根据拟建廉政文化墙提交设计制作方案，包括设计图稿、选材用料、设计制作费用，设计图稿较为美观，选材用料较合理、基本符合要求，费用报价较合理（16～24分）；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c. 根据拟建廉政文化墙提交设计制作方案，包括设计图稿、选材用料、设计制作费用，设计图稿尚可，选材用料基本符合要求，费用报价基本合理（1～15分）；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（3）业绩部分（0～10分）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2019年至今乙方承担过的类似项目业绩（设计或制作、安装合同），每有1个得2分（10分为上限）。</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（4）维保承诺（0～10分）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a．工程质量符合国家标准,乙方承诺积极响应甲方维保要求，甲方有维保需求，24小时内予以处理（10分）；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b．工程质量符合国家标准,乙方未承诺积极响应甲方维保要求（0分）。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（5）企业实力及信誉（0～20分）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a．竞磋人的企业实力强、设计团队能力强、信誉很好，无不良记录（12～20分）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b. 竞磋人的企业实力较好、设计团队能力较好、信誉较好，无不良记录（6～11分）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c. 竞磋人的企业实力一般、设计团队能力一般、信誉一般，无不良记录（0～5分）</w:t>
      </w:r>
    </w:p>
    <w:p>
      <w:pPr>
        <w:widowControl w:val="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三、投标人须知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1.不论投标结果如何，投标人均应自行承担所有与准备和参加投标活动有关的全部费用。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2.有下列情形之一的，视为投标人串通投标，其投标无效：</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（一）不同投标人的投标文件由同一单位或者个人编制；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（二）不同投标人委托同一单位或者个人办理投标事宜；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（三）不同投标人的投标文件载明的项目管理成员或者联系人员为同一人；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（四）不同投标人的投标文件异常一致或者投标报价呈规律性差异；</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（五）不同投标人的投标文件相互混装。</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3.中标结果公示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昆明医科大学第二附属医院资产管理处公示栏</w:t>
      </w:r>
      <w:r>
        <w:rPr>
          <w:rFonts w:hint="eastAsia" w:ascii="方正仿宋_GBK" w:hAnsi="方正仿宋_GBK" w:eastAsia="方正仿宋_GBK" w:cs="方正仿宋_GBK"/>
          <w:sz w:val="32"/>
          <w:szCs w:val="32"/>
          <w:lang w:val="en-US" w:eastAsia="zh-CN"/>
        </w:rPr>
        <w:t>。</w:t>
      </w:r>
    </w:p>
    <w:p>
      <w:pPr>
        <w:rPr>
          <w:rFonts w:hint="eastAsia"/>
          <w:lang w:eastAsia="zh-CN"/>
        </w:rPr>
      </w:pPr>
    </w:p>
    <w:p>
      <w:pPr>
        <w:rPr>
          <w:rFonts w:hint="eastAsia"/>
          <w:lang w:eastAsia="zh-CN"/>
        </w:rPr>
        <w:sectPr>
          <w:pgSz w:w="11906" w:h="16838"/>
          <w:pgMar w:top="1440" w:right="1800" w:bottom="1440" w:left="1800" w:header="851" w:footer="992" w:gutter="0"/>
          <w:cols w:space="425" w:num="1"/>
          <w:docGrid w:type="lines" w:linePitch="312" w:charSpace="0"/>
        </w:sect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AEA9F8"/>
    <w:multiLevelType w:val="singleLevel"/>
    <w:tmpl w:val="AEAEA9F8"/>
    <w:lvl w:ilvl="0" w:tentative="0">
      <w:start w:val="1"/>
      <w:numFmt w:val="chineseCounting"/>
      <w:suff w:val="nothing"/>
      <w:lvlText w:val="%1、"/>
      <w:lvlJc w:val="left"/>
      <w:rPr>
        <w:rFonts w:hint="eastAsia"/>
      </w:rPr>
    </w:lvl>
  </w:abstractNum>
  <w:abstractNum w:abstractNumId="1">
    <w:nsid w:val="1645B54C"/>
    <w:multiLevelType w:val="singleLevel"/>
    <w:tmpl w:val="1645B54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3NDQwMjM5ZTA3YTg3N2QxODRhMTc1ZjAzNzJiNDkifQ=="/>
  </w:docVars>
  <w:rsids>
    <w:rsidRoot w:val="004C7308"/>
    <w:rsid w:val="004C7308"/>
    <w:rsid w:val="01A53471"/>
    <w:rsid w:val="067F1C62"/>
    <w:rsid w:val="0E035286"/>
    <w:rsid w:val="10BD60EC"/>
    <w:rsid w:val="144F2FB5"/>
    <w:rsid w:val="14B005B5"/>
    <w:rsid w:val="167852BD"/>
    <w:rsid w:val="1C3B41A4"/>
    <w:rsid w:val="1E082AB0"/>
    <w:rsid w:val="20DC218C"/>
    <w:rsid w:val="216B51E7"/>
    <w:rsid w:val="21E33AFA"/>
    <w:rsid w:val="24A93D74"/>
    <w:rsid w:val="26066539"/>
    <w:rsid w:val="281F45B3"/>
    <w:rsid w:val="2D0472E8"/>
    <w:rsid w:val="2F5A6145"/>
    <w:rsid w:val="30F16FD2"/>
    <w:rsid w:val="32CD1D2B"/>
    <w:rsid w:val="333D36E2"/>
    <w:rsid w:val="340963A3"/>
    <w:rsid w:val="3464373C"/>
    <w:rsid w:val="37DD3EE5"/>
    <w:rsid w:val="3C9E63A6"/>
    <w:rsid w:val="3DC67F24"/>
    <w:rsid w:val="3E1C5F96"/>
    <w:rsid w:val="466F31C5"/>
    <w:rsid w:val="46A673AB"/>
    <w:rsid w:val="493D5A8C"/>
    <w:rsid w:val="49C47B91"/>
    <w:rsid w:val="4B073B82"/>
    <w:rsid w:val="4F0C19DD"/>
    <w:rsid w:val="4FE81259"/>
    <w:rsid w:val="51A96BB6"/>
    <w:rsid w:val="52042D6C"/>
    <w:rsid w:val="5C1D5B47"/>
    <w:rsid w:val="5EBC1634"/>
    <w:rsid w:val="68145509"/>
    <w:rsid w:val="68E119FF"/>
    <w:rsid w:val="6C576D2F"/>
    <w:rsid w:val="76001550"/>
    <w:rsid w:val="761A0506"/>
    <w:rsid w:val="7E326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3237</Words>
  <Characters>3408</Characters>
  <Lines>0</Lines>
  <Paragraphs>0</Paragraphs>
  <TotalTime>18</TotalTime>
  <ScaleCrop>false</ScaleCrop>
  <LinksUpToDate>false</LinksUpToDate>
  <CharactersWithSpaces>3412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2022-05-13T01:54:00Z</dcterms:created>
  <dc:creator>c</dc:creator>
  <cp:lastModifiedBy>c</cp:lastModifiedBy>
  <dcterms:modified xsi:type="dcterms:W3CDTF">2022-05-13T08:45:11Z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B9FB908120BD42E380CE73518319BC94</vt:lpwstr>
  </property>
</Properties>
</file>