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昆明医科大学第二附属医院</w:t>
      </w: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u w:val="single"/>
          <w:lang w:val="en-US" w:eastAsia="zh-CN"/>
        </w:rPr>
        <w:t xml:space="preserve">                             </w:t>
      </w:r>
      <w:r>
        <w:rPr>
          <w:rFonts w:hint="eastAsia" w:ascii="华文楷体" w:hAnsi="华文楷体" w:eastAsia="华文楷体" w:cs="华文楷体"/>
          <w:sz w:val="44"/>
          <w:szCs w:val="44"/>
        </w:rPr>
        <w:t>采购项目</w:t>
      </w:r>
    </w:p>
    <w:p>
      <w:pPr>
        <w:rPr>
          <w:rFonts w:hint="eastAsia" w:ascii="华文楷体" w:hAnsi="华文楷体" w:eastAsia="华文楷体" w:cs="华文楷体"/>
          <w:sz w:val="44"/>
          <w:szCs w:val="44"/>
        </w:rPr>
      </w:pPr>
    </w:p>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u w:val="single"/>
        </w:rPr>
      </w:pPr>
      <w:r>
        <w:rPr>
          <w:rFonts w:hint="eastAsia" w:ascii="华文楷体" w:hAnsi="华文楷体" w:eastAsia="华文楷体" w:cs="华文楷体"/>
          <w:sz w:val="44"/>
          <w:szCs w:val="44"/>
        </w:rPr>
        <w:t>招 标 文 件</w:t>
      </w:r>
    </w:p>
    <w:p>
      <w:pPr>
        <w:rPr>
          <w:rFonts w:hint="eastAsia" w:ascii="华文楷体" w:hAnsi="华文楷体" w:eastAsia="华文楷体" w:cs="华文楷体"/>
          <w:sz w:val="44"/>
          <w:szCs w:val="44"/>
        </w:rPr>
      </w:pPr>
    </w:p>
    <w:p>
      <w:pPr>
        <w:rPr>
          <w:rFonts w:hint="eastAsia" w:ascii="华文楷体" w:hAnsi="华文楷体" w:eastAsia="华文楷体" w:cs="华文楷体"/>
          <w:sz w:val="44"/>
          <w:szCs w:val="44"/>
        </w:rPr>
      </w:pPr>
    </w:p>
    <w:p>
      <w:pPr>
        <w:rPr>
          <w:rFonts w:hint="eastAsia" w:ascii="华文楷体" w:hAnsi="华文楷体" w:eastAsia="华文楷体" w:cs="华文楷体"/>
          <w:sz w:val="44"/>
          <w:szCs w:val="44"/>
        </w:rPr>
      </w:pPr>
    </w:p>
    <w:p>
      <w:pPr>
        <w:rPr>
          <w:rFonts w:hint="eastAsia" w:ascii="华文楷体" w:hAnsi="华文楷体" w:eastAsia="华文楷体" w:cs="华文楷体"/>
          <w:sz w:val="44"/>
          <w:szCs w:val="44"/>
        </w:rPr>
      </w:pPr>
      <w:r>
        <w:rPr>
          <w:rFonts w:hint="eastAsia" w:ascii="华文楷体" w:hAnsi="华文楷体" w:eastAsia="华文楷体" w:cs="华文楷体"/>
          <w:sz w:val="44"/>
          <w:szCs w:val="44"/>
        </w:rPr>
        <w:t>采购人：昆明医科大学第二附属医院</w:t>
      </w:r>
    </w:p>
    <w:p>
      <w:pPr>
        <w:rPr>
          <w:rFonts w:hint="eastAsia" w:ascii="华文楷体" w:hAnsi="华文楷体" w:eastAsia="华文楷体" w:cs="华文楷体"/>
          <w:sz w:val="44"/>
          <w:szCs w:val="44"/>
        </w:rPr>
      </w:pPr>
      <w:r>
        <w:rPr>
          <w:rFonts w:hint="eastAsia" w:ascii="华文楷体" w:hAnsi="华文楷体" w:eastAsia="华文楷体" w:cs="华文楷体"/>
          <w:sz w:val="44"/>
          <w:szCs w:val="44"/>
        </w:rPr>
        <w:t>二0二</w:t>
      </w:r>
      <w:r>
        <w:rPr>
          <w:rFonts w:hint="eastAsia" w:ascii="华文楷体" w:hAnsi="华文楷体" w:eastAsia="华文楷体" w:cs="华文楷体"/>
          <w:sz w:val="44"/>
          <w:szCs w:val="44"/>
          <w:lang w:eastAsia="zh-CN"/>
        </w:rPr>
        <w:t>二</w:t>
      </w:r>
      <w:r>
        <w:rPr>
          <w:rFonts w:hint="eastAsia" w:ascii="华文楷体" w:hAnsi="华文楷体" w:eastAsia="华文楷体" w:cs="华文楷体"/>
          <w:sz w:val="44"/>
          <w:szCs w:val="44"/>
        </w:rPr>
        <w:t>年</w:t>
      </w:r>
    </w:p>
    <w:p>
      <w:pPr>
        <w:rPr>
          <w:rFonts w:hint="eastAsia" w:ascii="华文楷体" w:hAnsi="华文楷体" w:eastAsia="华文楷体" w:cs="华文楷体"/>
        </w:rPr>
      </w:pPr>
    </w:p>
    <w:p>
      <w:pPr>
        <w:rPr>
          <w:rFonts w:hint="eastAsia" w:ascii="华文楷体" w:hAnsi="华文楷体" w:eastAsia="华文楷体" w:cs="华文楷体"/>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70034"/>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7"/>
            <w:tabs>
              <w:tab w:val="right" w:leader="dot" w:pos="8306"/>
            </w:tabs>
          </w:pPr>
          <w:r>
            <w:fldChar w:fldCharType="begin"/>
          </w:r>
          <w:r>
            <w:instrText xml:space="preserve">TOC \o "1-3" \h \u </w:instrText>
          </w:r>
          <w:r>
            <w:fldChar w:fldCharType="separate"/>
          </w:r>
          <w:r>
            <w:fldChar w:fldCharType="begin"/>
          </w:r>
          <w:r>
            <w:instrText xml:space="preserve"> HYPERLINK \l _Toc20026 </w:instrText>
          </w:r>
          <w:r>
            <w:fldChar w:fldCharType="separate"/>
          </w:r>
          <w:r>
            <w:rPr>
              <w:rFonts w:hint="eastAsia" w:ascii="方正楷体_GBK" w:hAnsi="方正楷体_GBK" w:eastAsia="方正楷体_GBK" w:cs="方正楷体_GBK"/>
              <w:szCs w:val="22"/>
              <w:lang w:val="en-US" w:eastAsia="zh-CN"/>
            </w:rPr>
            <w:t>第一章 公开招标公告</w:t>
          </w:r>
          <w:r>
            <w:tab/>
          </w:r>
          <w:r>
            <w:fldChar w:fldCharType="begin"/>
          </w:r>
          <w:r>
            <w:instrText xml:space="preserve"> PAGEREF _Toc20026 \h </w:instrText>
          </w:r>
          <w:r>
            <w:fldChar w:fldCharType="separate"/>
          </w:r>
          <w:r>
            <w:t>3</w:t>
          </w:r>
          <w:r>
            <w:fldChar w:fldCharType="end"/>
          </w:r>
          <w:r>
            <w:fldChar w:fldCharType="end"/>
          </w:r>
        </w:p>
        <w:p>
          <w:pPr>
            <w:pStyle w:val="7"/>
            <w:tabs>
              <w:tab w:val="right" w:leader="dot" w:pos="8306"/>
            </w:tabs>
          </w:pPr>
          <w:r>
            <w:fldChar w:fldCharType="begin"/>
          </w:r>
          <w:r>
            <w:instrText xml:space="preserve"> HYPERLINK \l _Toc10934 </w:instrText>
          </w:r>
          <w:r>
            <w:fldChar w:fldCharType="separate"/>
          </w:r>
          <w:r>
            <w:rPr>
              <w:rFonts w:hint="eastAsia" w:ascii="方正楷体_GBK" w:hAnsi="方正楷体_GBK" w:eastAsia="方正楷体_GBK" w:cs="方正楷体_GBK"/>
              <w:szCs w:val="22"/>
              <w:lang w:val="en-US" w:eastAsia="zh-CN"/>
            </w:rPr>
            <w:t>第二章 投标人须知</w:t>
          </w:r>
          <w:r>
            <w:tab/>
          </w:r>
          <w:r>
            <w:fldChar w:fldCharType="begin"/>
          </w:r>
          <w:r>
            <w:instrText xml:space="preserve"> PAGEREF _Toc10934 \h </w:instrText>
          </w:r>
          <w:r>
            <w:fldChar w:fldCharType="separate"/>
          </w:r>
          <w:r>
            <w:t>4</w:t>
          </w:r>
          <w:r>
            <w:fldChar w:fldCharType="end"/>
          </w:r>
          <w:r>
            <w:fldChar w:fldCharType="end"/>
          </w:r>
        </w:p>
        <w:p>
          <w:pPr>
            <w:pStyle w:val="5"/>
            <w:tabs>
              <w:tab w:val="right" w:leader="dot" w:pos="8306"/>
            </w:tabs>
          </w:pPr>
          <w:r>
            <w:fldChar w:fldCharType="begin"/>
          </w:r>
          <w:r>
            <w:instrText xml:space="preserve"> HYPERLINK \l _Toc20876 </w:instrText>
          </w:r>
          <w:r>
            <w:fldChar w:fldCharType="separate"/>
          </w:r>
          <w:r>
            <w:rPr>
              <w:rFonts w:hint="eastAsia" w:ascii="华文楷体" w:hAnsi="华文楷体" w:eastAsia="华文楷体" w:cs="华文楷体"/>
              <w:szCs w:val="24"/>
              <w:lang w:eastAsia="zh-CN"/>
            </w:rPr>
            <w:t>一、合格的投标人</w:t>
          </w:r>
          <w:r>
            <w:tab/>
          </w:r>
          <w:r>
            <w:fldChar w:fldCharType="begin"/>
          </w:r>
          <w:r>
            <w:instrText xml:space="preserve"> PAGEREF _Toc20876 \h </w:instrText>
          </w:r>
          <w:r>
            <w:fldChar w:fldCharType="separate"/>
          </w:r>
          <w:r>
            <w:t>5</w:t>
          </w:r>
          <w:r>
            <w:fldChar w:fldCharType="end"/>
          </w:r>
          <w:r>
            <w:fldChar w:fldCharType="end"/>
          </w:r>
        </w:p>
        <w:p>
          <w:pPr>
            <w:pStyle w:val="5"/>
            <w:tabs>
              <w:tab w:val="right" w:leader="dot" w:pos="8306"/>
            </w:tabs>
          </w:pPr>
          <w:r>
            <w:fldChar w:fldCharType="begin"/>
          </w:r>
          <w:r>
            <w:instrText xml:space="preserve"> HYPERLINK \l _Toc1816 </w:instrText>
          </w:r>
          <w:r>
            <w:fldChar w:fldCharType="separate"/>
          </w:r>
          <w:r>
            <w:rPr>
              <w:rFonts w:hint="eastAsia" w:ascii="华文楷体" w:hAnsi="华文楷体" w:eastAsia="华文楷体" w:cs="华文楷体"/>
              <w:szCs w:val="24"/>
              <w:lang w:eastAsia="zh-CN"/>
            </w:rPr>
            <w:t>二、招标文件</w:t>
          </w:r>
          <w:r>
            <w:tab/>
          </w:r>
          <w:r>
            <w:fldChar w:fldCharType="begin"/>
          </w:r>
          <w:r>
            <w:instrText xml:space="preserve"> PAGEREF _Toc1816 \h </w:instrText>
          </w:r>
          <w:r>
            <w:fldChar w:fldCharType="separate"/>
          </w:r>
          <w:r>
            <w:t>7</w:t>
          </w:r>
          <w:r>
            <w:fldChar w:fldCharType="end"/>
          </w:r>
          <w:r>
            <w:fldChar w:fldCharType="end"/>
          </w:r>
        </w:p>
        <w:p>
          <w:pPr>
            <w:pStyle w:val="5"/>
            <w:tabs>
              <w:tab w:val="right" w:leader="dot" w:pos="8306"/>
            </w:tabs>
          </w:pPr>
          <w:r>
            <w:fldChar w:fldCharType="begin"/>
          </w:r>
          <w:r>
            <w:instrText xml:space="preserve"> HYPERLINK \l _Toc2934 </w:instrText>
          </w:r>
          <w:r>
            <w:fldChar w:fldCharType="separate"/>
          </w:r>
          <w:r>
            <w:rPr>
              <w:rFonts w:hint="eastAsia" w:ascii="华文楷体" w:hAnsi="华文楷体" w:eastAsia="华文楷体" w:cs="华文楷体"/>
              <w:szCs w:val="24"/>
              <w:lang w:val="en-US" w:eastAsia="zh-CN"/>
            </w:rPr>
            <w:t>1 招标文件构成</w:t>
          </w:r>
          <w:r>
            <w:tab/>
          </w:r>
          <w:r>
            <w:fldChar w:fldCharType="begin"/>
          </w:r>
          <w:r>
            <w:instrText xml:space="preserve"> PAGEREF _Toc2934 \h </w:instrText>
          </w:r>
          <w:r>
            <w:fldChar w:fldCharType="separate"/>
          </w:r>
          <w:r>
            <w:t>7</w:t>
          </w:r>
          <w:r>
            <w:fldChar w:fldCharType="end"/>
          </w:r>
          <w:r>
            <w:fldChar w:fldCharType="end"/>
          </w:r>
        </w:p>
        <w:p>
          <w:pPr>
            <w:pStyle w:val="5"/>
            <w:tabs>
              <w:tab w:val="right" w:leader="dot" w:pos="8306"/>
            </w:tabs>
          </w:pPr>
          <w:r>
            <w:fldChar w:fldCharType="begin"/>
          </w:r>
          <w:r>
            <w:instrText xml:space="preserve"> HYPERLINK \l _Toc26052 </w:instrText>
          </w:r>
          <w:r>
            <w:fldChar w:fldCharType="separate"/>
          </w:r>
          <w:r>
            <w:rPr>
              <w:rFonts w:hint="eastAsia" w:ascii="华文楷体" w:hAnsi="华文楷体" w:eastAsia="华文楷体" w:cs="华文楷体"/>
              <w:szCs w:val="24"/>
              <w:lang w:val="en-US" w:eastAsia="zh-CN"/>
            </w:rPr>
            <w:t>2 招标文件的澄清或者修改</w:t>
          </w:r>
          <w:r>
            <w:tab/>
          </w:r>
          <w:r>
            <w:fldChar w:fldCharType="begin"/>
          </w:r>
          <w:r>
            <w:instrText xml:space="preserve"> PAGEREF _Toc26052 \h </w:instrText>
          </w:r>
          <w:r>
            <w:fldChar w:fldCharType="separate"/>
          </w:r>
          <w:r>
            <w:t>8</w:t>
          </w:r>
          <w:r>
            <w:fldChar w:fldCharType="end"/>
          </w:r>
          <w:r>
            <w:fldChar w:fldCharType="end"/>
          </w:r>
        </w:p>
        <w:p>
          <w:pPr>
            <w:pStyle w:val="5"/>
            <w:tabs>
              <w:tab w:val="right" w:leader="dot" w:pos="8306"/>
            </w:tabs>
          </w:pPr>
          <w:r>
            <w:fldChar w:fldCharType="begin"/>
          </w:r>
          <w:r>
            <w:instrText xml:space="preserve"> HYPERLINK \l _Toc23893 </w:instrText>
          </w:r>
          <w:r>
            <w:fldChar w:fldCharType="separate"/>
          </w:r>
          <w:r>
            <w:rPr>
              <w:rFonts w:hint="eastAsia" w:ascii="华文楷体" w:hAnsi="华文楷体" w:eastAsia="华文楷体" w:cs="华文楷体"/>
              <w:szCs w:val="24"/>
              <w:lang w:eastAsia="zh-CN"/>
            </w:rPr>
            <w:t>三、投标文件</w:t>
          </w:r>
          <w:r>
            <w:tab/>
          </w:r>
          <w:r>
            <w:fldChar w:fldCharType="begin"/>
          </w:r>
          <w:r>
            <w:instrText xml:space="preserve"> PAGEREF _Toc23893 \h </w:instrText>
          </w:r>
          <w:r>
            <w:fldChar w:fldCharType="separate"/>
          </w:r>
          <w:r>
            <w:t>8</w:t>
          </w:r>
          <w:r>
            <w:fldChar w:fldCharType="end"/>
          </w:r>
          <w:r>
            <w:fldChar w:fldCharType="end"/>
          </w:r>
        </w:p>
        <w:p>
          <w:pPr>
            <w:pStyle w:val="5"/>
            <w:tabs>
              <w:tab w:val="right" w:leader="dot" w:pos="8306"/>
            </w:tabs>
          </w:pPr>
          <w:r>
            <w:fldChar w:fldCharType="begin"/>
          </w:r>
          <w:r>
            <w:instrText xml:space="preserve"> HYPERLINK \l _Toc27940 </w:instrText>
          </w:r>
          <w:r>
            <w:fldChar w:fldCharType="separate"/>
          </w:r>
          <w:r>
            <w:rPr>
              <w:rFonts w:hint="eastAsia" w:ascii="华文楷体" w:hAnsi="华文楷体" w:eastAsia="华文楷体" w:cs="华文楷体"/>
              <w:szCs w:val="24"/>
            </w:rPr>
            <w:t>1</w:t>
          </w:r>
          <w:r>
            <w:rPr>
              <w:rFonts w:hint="eastAsia" w:ascii="华文楷体" w:hAnsi="华文楷体" w:eastAsia="华文楷体" w:cs="华文楷体"/>
              <w:szCs w:val="24"/>
              <w:lang w:val="en-US" w:eastAsia="zh-CN"/>
            </w:rPr>
            <w:t xml:space="preserve"> </w:t>
          </w:r>
          <w:r>
            <w:rPr>
              <w:rFonts w:hint="eastAsia" w:ascii="华文楷体" w:hAnsi="华文楷体" w:eastAsia="华文楷体" w:cs="华文楷体"/>
              <w:szCs w:val="24"/>
            </w:rPr>
            <w:t>投标文件编写注意事项</w:t>
          </w:r>
          <w:r>
            <w:tab/>
          </w:r>
          <w:r>
            <w:fldChar w:fldCharType="begin"/>
          </w:r>
          <w:r>
            <w:instrText xml:space="preserve"> PAGEREF _Toc27940 \h </w:instrText>
          </w:r>
          <w:r>
            <w:fldChar w:fldCharType="separate"/>
          </w:r>
          <w:r>
            <w:t>8</w:t>
          </w:r>
          <w:r>
            <w:fldChar w:fldCharType="end"/>
          </w:r>
          <w:r>
            <w:fldChar w:fldCharType="end"/>
          </w:r>
        </w:p>
        <w:p>
          <w:pPr>
            <w:pStyle w:val="5"/>
            <w:tabs>
              <w:tab w:val="right" w:leader="dot" w:pos="8306"/>
            </w:tabs>
          </w:pPr>
          <w:r>
            <w:fldChar w:fldCharType="begin"/>
          </w:r>
          <w:r>
            <w:instrText xml:space="preserve"> HYPERLINK \l _Toc31839 </w:instrText>
          </w:r>
          <w:r>
            <w:fldChar w:fldCharType="separate"/>
          </w:r>
          <w:r>
            <w:rPr>
              <w:rFonts w:hint="eastAsia" w:ascii="华文楷体" w:hAnsi="华文楷体" w:eastAsia="华文楷体" w:cs="华文楷体"/>
              <w:szCs w:val="24"/>
            </w:rPr>
            <w:t>2. 投标的语言及计量单位</w:t>
          </w:r>
          <w:r>
            <w:tab/>
          </w:r>
          <w:r>
            <w:fldChar w:fldCharType="begin"/>
          </w:r>
          <w:r>
            <w:instrText xml:space="preserve"> PAGEREF _Toc31839 \h </w:instrText>
          </w:r>
          <w:r>
            <w:fldChar w:fldCharType="separate"/>
          </w:r>
          <w:r>
            <w:t>8</w:t>
          </w:r>
          <w:r>
            <w:fldChar w:fldCharType="end"/>
          </w:r>
          <w:r>
            <w:fldChar w:fldCharType="end"/>
          </w:r>
        </w:p>
        <w:p>
          <w:pPr>
            <w:pStyle w:val="5"/>
            <w:tabs>
              <w:tab w:val="right" w:leader="dot" w:pos="8306"/>
            </w:tabs>
          </w:pPr>
          <w:r>
            <w:fldChar w:fldCharType="begin"/>
          </w:r>
          <w:r>
            <w:instrText xml:space="preserve"> HYPERLINK \l _Toc27688 </w:instrText>
          </w:r>
          <w:r>
            <w:fldChar w:fldCharType="separate"/>
          </w:r>
          <w:r>
            <w:rPr>
              <w:rFonts w:hint="eastAsia" w:ascii="华文楷体" w:hAnsi="华文楷体" w:eastAsia="华文楷体" w:cs="华文楷体"/>
              <w:szCs w:val="24"/>
              <w:lang w:val="en-US" w:eastAsia="zh-CN"/>
            </w:rPr>
            <w:t>3 投标文件构成（格式）</w:t>
          </w:r>
          <w:r>
            <w:tab/>
          </w:r>
          <w:r>
            <w:fldChar w:fldCharType="begin"/>
          </w:r>
          <w:r>
            <w:instrText xml:space="preserve"> PAGEREF _Toc27688 \h </w:instrText>
          </w:r>
          <w:r>
            <w:fldChar w:fldCharType="separate"/>
          </w:r>
          <w:r>
            <w:t>9</w:t>
          </w:r>
          <w:r>
            <w:fldChar w:fldCharType="end"/>
          </w:r>
          <w:r>
            <w:fldChar w:fldCharType="end"/>
          </w:r>
        </w:p>
        <w:p>
          <w:pPr>
            <w:pStyle w:val="5"/>
            <w:tabs>
              <w:tab w:val="right" w:leader="dot" w:pos="8306"/>
            </w:tabs>
          </w:pPr>
          <w:r>
            <w:fldChar w:fldCharType="begin"/>
          </w:r>
          <w:r>
            <w:instrText xml:space="preserve"> HYPERLINK \l _Toc30738 </w:instrText>
          </w:r>
          <w:r>
            <w:fldChar w:fldCharType="separate"/>
          </w:r>
          <w:r>
            <w:rPr>
              <w:rFonts w:hint="eastAsia" w:ascii="华文楷体" w:hAnsi="华文楷体" w:eastAsia="华文楷体" w:cs="华文楷体"/>
              <w:szCs w:val="24"/>
              <w:lang w:val="en-US" w:eastAsia="zh-CN"/>
            </w:rPr>
            <w:t>4 投标报价</w:t>
          </w:r>
          <w:r>
            <w:tab/>
          </w:r>
          <w:r>
            <w:fldChar w:fldCharType="begin"/>
          </w:r>
          <w:r>
            <w:instrText xml:space="preserve"> PAGEREF _Toc30738 \h </w:instrText>
          </w:r>
          <w:r>
            <w:fldChar w:fldCharType="separate"/>
          </w:r>
          <w:r>
            <w:t>9</w:t>
          </w:r>
          <w:r>
            <w:fldChar w:fldCharType="end"/>
          </w:r>
          <w:r>
            <w:fldChar w:fldCharType="end"/>
          </w:r>
        </w:p>
        <w:p>
          <w:pPr>
            <w:pStyle w:val="5"/>
            <w:tabs>
              <w:tab w:val="right" w:leader="dot" w:pos="8306"/>
            </w:tabs>
          </w:pPr>
          <w:r>
            <w:fldChar w:fldCharType="begin"/>
          </w:r>
          <w:r>
            <w:instrText xml:space="preserve"> HYPERLINK \l _Toc26485 </w:instrText>
          </w:r>
          <w:r>
            <w:fldChar w:fldCharType="separate"/>
          </w:r>
          <w:r>
            <w:rPr>
              <w:rFonts w:hint="eastAsia" w:ascii="华文楷体" w:hAnsi="华文楷体" w:eastAsia="华文楷体" w:cs="华文楷体"/>
              <w:szCs w:val="24"/>
              <w:lang w:val="en-US" w:eastAsia="zh-CN"/>
            </w:rPr>
            <w:t>四、响应文件递交</w:t>
          </w:r>
          <w:r>
            <w:tab/>
          </w:r>
          <w:r>
            <w:fldChar w:fldCharType="begin"/>
          </w:r>
          <w:r>
            <w:instrText xml:space="preserve"> PAGEREF _Toc26485 \h </w:instrText>
          </w:r>
          <w:r>
            <w:fldChar w:fldCharType="separate"/>
          </w:r>
          <w:r>
            <w:t>9</w:t>
          </w:r>
          <w:r>
            <w:fldChar w:fldCharType="end"/>
          </w:r>
          <w:r>
            <w:fldChar w:fldCharType="end"/>
          </w:r>
        </w:p>
        <w:p>
          <w:pPr>
            <w:pStyle w:val="5"/>
            <w:tabs>
              <w:tab w:val="right" w:leader="dot" w:pos="8306"/>
            </w:tabs>
          </w:pPr>
          <w:r>
            <w:fldChar w:fldCharType="begin"/>
          </w:r>
          <w:r>
            <w:instrText xml:space="preserve"> HYPERLINK \l _Toc12564 </w:instrText>
          </w:r>
          <w:r>
            <w:fldChar w:fldCharType="separate"/>
          </w:r>
          <w:r>
            <w:rPr>
              <w:rFonts w:hint="eastAsia" w:ascii="华文楷体" w:hAnsi="华文楷体" w:eastAsia="华文楷体" w:cs="华文楷体"/>
              <w:szCs w:val="24"/>
              <w:lang w:val="en-US" w:eastAsia="zh-CN"/>
            </w:rPr>
            <w:t>五、开标与评标</w:t>
          </w:r>
          <w:r>
            <w:tab/>
          </w:r>
          <w:r>
            <w:fldChar w:fldCharType="begin"/>
          </w:r>
          <w:r>
            <w:instrText xml:space="preserve"> PAGEREF _Toc12564 \h </w:instrText>
          </w:r>
          <w:r>
            <w:fldChar w:fldCharType="separate"/>
          </w:r>
          <w:r>
            <w:t>10</w:t>
          </w:r>
          <w:r>
            <w:fldChar w:fldCharType="end"/>
          </w:r>
          <w:r>
            <w:fldChar w:fldCharType="end"/>
          </w:r>
        </w:p>
        <w:p>
          <w:pPr>
            <w:pStyle w:val="5"/>
            <w:tabs>
              <w:tab w:val="right" w:leader="dot" w:pos="8306"/>
            </w:tabs>
          </w:pPr>
          <w:r>
            <w:fldChar w:fldCharType="begin"/>
          </w:r>
          <w:r>
            <w:instrText xml:space="preserve"> HYPERLINK \l _Toc22863 </w:instrText>
          </w:r>
          <w:r>
            <w:fldChar w:fldCharType="separate"/>
          </w:r>
          <w:r>
            <w:rPr>
              <w:rFonts w:hint="eastAsia" w:ascii="华文楷体" w:hAnsi="华文楷体" w:eastAsia="华文楷体" w:cs="华文楷体"/>
              <w:szCs w:val="24"/>
              <w:lang w:val="en-US" w:eastAsia="zh-CN"/>
            </w:rPr>
            <w:t>1.评审专家组</w:t>
          </w:r>
          <w:r>
            <w:tab/>
          </w:r>
          <w:r>
            <w:fldChar w:fldCharType="begin"/>
          </w:r>
          <w:r>
            <w:instrText xml:space="preserve"> PAGEREF _Toc22863 \h </w:instrText>
          </w:r>
          <w:r>
            <w:fldChar w:fldCharType="separate"/>
          </w:r>
          <w:r>
            <w:t>10</w:t>
          </w:r>
          <w:r>
            <w:fldChar w:fldCharType="end"/>
          </w:r>
          <w:r>
            <w:fldChar w:fldCharType="end"/>
          </w:r>
        </w:p>
        <w:p>
          <w:pPr>
            <w:pStyle w:val="5"/>
            <w:tabs>
              <w:tab w:val="right" w:leader="dot" w:pos="8306"/>
            </w:tabs>
          </w:pPr>
          <w:r>
            <w:fldChar w:fldCharType="begin"/>
          </w:r>
          <w:r>
            <w:instrText xml:space="preserve"> HYPERLINK \l _Toc11273 </w:instrText>
          </w:r>
          <w:r>
            <w:fldChar w:fldCharType="separate"/>
          </w:r>
          <w:r>
            <w:rPr>
              <w:rFonts w:hint="eastAsia" w:ascii="华文楷体" w:hAnsi="华文楷体" w:eastAsia="华文楷体" w:cs="华文楷体"/>
              <w:szCs w:val="24"/>
              <w:lang w:val="en-US" w:eastAsia="zh-CN"/>
            </w:rPr>
            <w:t>2.评标方法</w:t>
          </w:r>
          <w:r>
            <w:tab/>
          </w:r>
          <w:r>
            <w:fldChar w:fldCharType="begin"/>
          </w:r>
          <w:r>
            <w:instrText xml:space="preserve"> PAGEREF _Toc11273 \h </w:instrText>
          </w:r>
          <w:r>
            <w:fldChar w:fldCharType="separate"/>
          </w:r>
          <w:r>
            <w:t>10</w:t>
          </w:r>
          <w:r>
            <w:fldChar w:fldCharType="end"/>
          </w:r>
          <w:r>
            <w:fldChar w:fldCharType="end"/>
          </w:r>
        </w:p>
        <w:p>
          <w:pPr>
            <w:pStyle w:val="5"/>
            <w:tabs>
              <w:tab w:val="right" w:leader="dot" w:pos="8306"/>
            </w:tabs>
          </w:pPr>
          <w:r>
            <w:fldChar w:fldCharType="begin"/>
          </w:r>
          <w:r>
            <w:instrText xml:space="preserve"> HYPERLINK \l _Toc393 </w:instrText>
          </w:r>
          <w:r>
            <w:fldChar w:fldCharType="separate"/>
          </w:r>
          <w:r>
            <w:rPr>
              <w:rFonts w:hint="eastAsia" w:ascii="华文楷体" w:hAnsi="华文楷体" w:eastAsia="华文楷体" w:cs="华文楷体"/>
              <w:szCs w:val="24"/>
              <w:lang w:val="en-US" w:eastAsia="zh-CN"/>
            </w:rPr>
            <w:t>六、中标结果</w:t>
          </w:r>
          <w:r>
            <w:tab/>
          </w:r>
          <w:r>
            <w:fldChar w:fldCharType="begin"/>
          </w:r>
          <w:r>
            <w:instrText xml:space="preserve"> PAGEREF _Toc393 \h </w:instrText>
          </w:r>
          <w:r>
            <w:fldChar w:fldCharType="separate"/>
          </w:r>
          <w:r>
            <w:t>11</w:t>
          </w:r>
          <w:r>
            <w:fldChar w:fldCharType="end"/>
          </w:r>
          <w:r>
            <w:fldChar w:fldCharType="end"/>
          </w:r>
        </w:p>
        <w:p>
          <w:pPr>
            <w:pStyle w:val="7"/>
            <w:tabs>
              <w:tab w:val="right" w:leader="dot" w:pos="8306"/>
            </w:tabs>
          </w:pPr>
          <w:r>
            <w:fldChar w:fldCharType="begin"/>
          </w:r>
          <w:r>
            <w:instrText xml:space="preserve"> HYPERLINK \l _Toc18478 </w:instrText>
          </w:r>
          <w:r>
            <w:fldChar w:fldCharType="separate"/>
          </w:r>
          <w:r>
            <w:rPr>
              <w:rFonts w:hint="default" w:ascii="方正楷体_GBK" w:hAnsi="方正楷体_GBK" w:eastAsia="方正楷体_GBK" w:cs="方正楷体_GBK"/>
              <w:szCs w:val="22"/>
              <w:lang w:val="en-US" w:eastAsia="zh-CN"/>
            </w:rPr>
            <w:t>第三章 合同书样式及主要条款</w:t>
          </w:r>
          <w:r>
            <w:tab/>
          </w:r>
          <w:r>
            <w:fldChar w:fldCharType="begin"/>
          </w:r>
          <w:r>
            <w:instrText xml:space="preserve"> PAGEREF _Toc18478 \h </w:instrText>
          </w:r>
          <w:r>
            <w:fldChar w:fldCharType="separate"/>
          </w:r>
          <w:r>
            <w:t>11</w:t>
          </w:r>
          <w:r>
            <w:fldChar w:fldCharType="end"/>
          </w:r>
          <w:r>
            <w:fldChar w:fldCharType="end"/>
          </w:r>
        </w:p>
        <w:p>
          <w:pPr>
            <w:pStyle w:val="7"/>
            <w:tabs>
              <w:tab w:val="right" w:leader="dot" w:pos="8306"/>
            </w:tabs>
          </w:pPr>
          <w:r>
            <w:fldChar w:fldCharType="begin"/>
          </w:r>
          <w:r>
            <w:instrText xml:space="preserve"> HYPERLINK \l _Toc20031 </w:instrText>
          </w:r>
          <w:r>
            <w:fldChar w:fldCharType="separate"/>
          </w:r>
          <w:r>
            <w:rPr>
              <w:rFonts w:hint="default" w:ascii="方正楷体_GBK" w:hAnsi="方正楷体_GBK" w:eastAsia="方正楷体_GBK" w:cs="方正楷体_GBK"/>
              <w:szCs w:val="22"/>
              <w:lang w:val="en-US" w:eastAsia="zh-CN"/>
            </w:rPr>
            <w:t>第四章  投标文件格式</w:t>
          </w:r>
          <w:r>
            <w:rPr>
              <w:rFonts w:hint="eastAsia" w:ascii="方正楷体_GBK" w:hAnsi="方正楷体_GBK" w:eastAsia="方正楷体_GBK" w:cs="方正楷体_GBK"/>
              <w:szCs w:val="22"/>
              <w:lang w:val="en-US" w:eastAsia="zh-CN"/>
            </w:rPr>
            <w:t>（见附件）</w:t>
          </w:r>
          <w:r>
            <w:tab/>
          </w:r>
          <w:r>
            <w:fldChar w:fldCharType="begin"/>
          </w:r>
          <w:r>
            <w:instrText xml:space="preserve"> PAGEREF _Toc20031 \h </w:instrText>
          </w:r>
          <w:r>
            <w:fldChar w:fldCharType="separate"/>
          </w:r>
          <w:r>
            <w:t>11</w:t>
          </w:r>
          <w:r>
            <w:fldChar w:fldCharType="end"/>
          </w:r>
          <w:r>
            <w:fldChar w:fldCharType="end"/>
          </w:r>
        </w:p>
        <w:p>
          <w:pPr>
            <w:pStyle w:val="7"/>
            <w:tabs>
              <w:tab w:val="right" w:leader="dot" w:pos="8306"/>
            </w:tabs>
          </w:pPr>
          <w:r>
            <w:fldChar w:fldCharType="begin"/>
          </w:r>
          <w:r>
            <w:instrText xml:space="preserve"> HYPERLINK \l _Toc24507 </w:instrText>
          </w:r>
          <w:r>
            <w:fldChar w:fldCharType="separate"/>
          </w:r>
          <w:r>
            <w:rPr>
              <w:rFonts w:hint="default" w:ascii="方正楷体_GBK" w:hAnsi="方正楷体_GBK" w:eastAsia="方正楷体_GBK" w:cs="方正楷体_GBK"/>
              <w:szCs w:val="22"/>
              <w:lang w:val="en-US" w:eastAsia="zh-CN"/>
            </w:rPr>
            <w:t>第五章  项目需求及技术要求</w:t>
          </w:r>
          <w:r>
            <w:rPr>
              <w:rFonts w:hint="eastAsia" w:ascii="方正楷体_GBK" w:hAnsi="方正楷体_GBK" w:eastAsia="方正楷体_GBK" w:cs="方正楷体_GBK"/>
              <w:szCs w:val="22"/>
              <w:lang w:val="en-US" w:eastAsia="zh-CN"/>
            </w:rPr>
            <w:t>（见附件）</w:t>
          </w:r>
          <w:r>
            <w:tab/>
          </w:r>
          <w:r>
            <w:fldChar w:fldCharType="begin"/>
          </w:r>
          <w:r>
            <w:instrText xml:space="preserve"> PAGEREF _Toc24507 \h </w:instrText>
          </w:r>
          <w:r>
            <w:fldChar w:fldCharType="separate"/>
          </w:r>
          <w:r>
            <w:t>11</w:t>
          </w:r>
          <w:r>
            <w:fldChar w:fldCharType="end"/>
          </w:r>
          <w:r>
            <w:fldChar w:fldCharType="end"/>
          </w:r>
        </w:p>
        <w:p>
          <w:pPr>
            <w:pStyle w:val="7"/>
            <w:tabs>
              <w:tab w:val="right" w:leader="dot" w:pos="8306"/>
            </w:tabs>
          </w:pPr>
          <w:r>
            <w:fldChar w:fldCharType="begin"/>
          </w:r>
          <w:r>
            <w:instrText xml:space="preserve"> HYPERLINK \l _Toc27438 </w:instrText>
          </w:r>
          <w:r>
            <w:fldChar w:fldCharType="separate"/>
          </w:r>
          <w:r>
            <w:rPr>
              <w:rFonts w:hint="eastAsia" w:ascii="方正楷体_GBK" w:hAnsi="方正楷体_GBK" w:eastAsia="方正楷体_GBK" w:cs="方正楷体_GBK"/>
              <w:szCs w:val="22"/>
              <w:lang w:val="en-US" w:eastAsia="zh-CN"/>
            </w:rPr>
            <w:t>第六章  资格评审标准</w:t>
          </w:r>
          <w:r>
            <w:tab/>
          </w:r>
          <w:r>
            <w:fldChar w:fldCharType="begin"/>
          </w:r>
          <w:r>
            <w:instrText xml:space="preserve"> PAGEREF _Toc27438 \h </w:instrText>
          </w:r>
          <w:r>
            <w:fldChar w:fldCharType="separate"/>
          </w:r>
          <w:r>
            <w:t>12</w:t>
          </w:r>
          <w:r>
            <w:fldChar w:fldCharType="end"/>
          </w:r>
          <w:r>
            <w:fldChar w:fldCharType="end"/>
          </w:r>
        </w:p>
        <w:p>
          <w:pPr>
            <w:pStyle w:val="7"/>
            <w:tabs>
              <w:tab w:val="right" w:leader="dot" w:pos="8306"/>
            </w:tabs>
          </w:pPr>
          <w:r>
            <w:fldChar w:fldCharType="begin"/>
          </w:r>
          <w:r>
            <w:instrText xml:space="preserve"> HYPERLINK \l _Toc18515 </w:instrText>
          </w:r>
          <w:r>
            <w:fldChar w:fldCharType="separate"/>
          </w:r>
          <w:r>
            <w:rPr>
              <w:rFonts w:hint="eastAsia" w:ascii="方正楷体_GBK" w:hAnsi="方正楷体_GBK" w:eastAsia="方正楷体_GBK" w:cs="方正楷体_GBK"/>
              <w:szCs w:val="22"/>
              <w:lang w:val="en-US" w:eastAsia="zh-CN"/>
            </w:rPr>
            <w:t xml:space="preserve">第七章  </w:t>
          </w:r>
          <w:r>
            <w:rPr>
              <w:rFonts w:hint="default" w:ascii="方正楷体_GBK" w:hAnsi="方正楷体_GBK" w:eastAsia="方正楷体_GBK" w:cs="方正楷体_GBK"/>
              <w:szCs w:val="22"/>
              <w:lang w:val="en-US" w:eastAsia="zh-CN"/>
            </w:rPr>
            <w:t>评标方法（综合评分法）</w:t>
          </w:r>
          <w:r>
            <w:tab/>
          </w:r>
          <w:r>
            <w:fldChar w:fldCharType="begin"/>
          </w:r>
          <w:r>
            <w:instrText xml:space="preserve"> PAGEREF _Toc18515 \h </w:instrText>
          </w:r>
          <w:r>
            <w:fldChar w:fldCharType="separate"/>
          </w:r>
          <w:r>
            <w:t>14</w:t>
          </w:r>
          <w:r>
            <w:fldChar w:fldCharType="end"/>
          </w:r>
          <w:r>
            <w:fldChar w:fldCharType="end"/>
          </w:r>
        </w:p>
        <w:p>
          <w:pPr>
            <w:pStyle w:val="5"/>
            <w:tabs>
              <w:tab w:val="right" w:leader="dot" w:pos="8306"/>
            </w:tabs>
          </w:pPr>
          <w:r>
            <w:fldChar w:fldCharType="begin"/>
          </w:r>
          <w:r>
            <w:instrText xml:space="preserve"> HYPERLINK \l _Toc13528 </w:instrText>
          </w:r>
          <w:r>
            <w:fldChar w:fldCharType="separate"/>
          </w:r>
          <w:r>
            <w:rPr>
              <w:rFonts w:hint="eastAsia" w:ascii="华文楷体" w:hAnsi="华文楷体" w:eastAsia="华文楷体" w:cs="华文楷体"/>
              <w:szCs w:val="24"/>
              <w:lang w:val="en-US" w:eastAsia="zh-CN"/>
            </w:rPr>
            <w:t>一、评标方法</w:t>
          </w:r>
          <w:r>
            <w:tab/>
          </w:r>
          <w:r>
            <w:fldChar w:fldCharType="begin"/>
          </w:r>
          <w:r>
            <w:instrText xml:space="preserve"> PAGEREF _Toc13528 \h </w:instrText>
          </w:r>
          <w:r>
            <w:fldChar w:fldCharType="separate"/>
          </w:r>
          <w:r>
            <w:t>15</w:t>
          </w:r>
          <w:r>
            <w:fldChar w:fldCharType="end"/>
          </w:r>
          <w:r>
            <w:fldChar w:fldCharType="end"/>
          </w:r>
        </w:p>
        <w:p>
          <w:pPr>
            <w:pStyle w:val="5"/>
            <w:tabs>
              <w:tab w:val="right" w:leader="dot" w:pos="8306"/>
            </w:tabs>
          </w:pPr>
          <w:r>
            <w:fldChar w:fldCharType="begin"/>
          </w:r>
          <w:r>
            <w:instrText xml:space="preserve"> HYPERLINK \l _Toc7190 </w:instrText>
          </w:r>
          <w:r>
            <w:fldChar w:fldCharType="separate"/>
          </w:r>
          <w:r>
            <w:rPr>
              <w:rFonts w:hint="eastAsia" w:ascii="华文楷体" w:hAnsi="华文楷体" w:eastAsia="华文楷体" w:cs="华文楷体"/>
              <w:szCs w:val="24"/>
              <w:lang w:val="en-US" w:eastAsia="zh-CN"/>
            </w:rPr>
            <w:t>二、</w:t>
          </w:r>
          <w:r>
            <w:rPr>
              <w:rFonts w:hint="default" w:ascii="华文楷体" w:hAnsi="华文楷体" w:eastAsia="华文楷体" w:cs="华文楷体"/>
              <w:szCs w:val="24"/>
              <w:lang w:val="en-US" w:eastAsia="zh-CN"/>
            </w:rPr>
            <w:t>评标程序及标准</w:t>
          </w:r>
          <w:r>
            <w:tab/>
          </w:r>
          <w:r>
            <w:fldChar w:fldCharType="begin"/>
          </w:r>
          <w:r>
            <w:instrText xml:space="preserve"> PAGEREF _Toc7190 \h </w:instrText>
          </w:r>
          <w:r>
            <w:fldChar w:fldCharType="separate"/>
          </w:r>
          <w:r>
            <w:t>16</w:t>
          </w:r>
          <w:r>
            <w:fldChar w:fldCharType="end"/>
          </w:r>
          <w:r>
            <w:fldChar w:fldCharType="end"/>
          </w:r>
        </w:p>
        <w:p>
          <w:pPr>
            <w:pStyle w:val="5"/>
            <w:tabs>
              <w:tab w:val="right" w:leader="dot" w:pos="8306"/>
            </w:tabs>
          </w:pPr>
          <w:r>
            <w:fldChar w:fldCharType="begin"/>
          </w:r>
          <w:r>
            <w:instrText xml:space="preserve"> HYPERLINK \l _Toc30182 </w:instrText>
          </w:r>
          <w:r>
            <w:fldChar w:fldCharType="separate"/>
          </w:r>
          <w:r>
            <w:rPr>
              <w:rFonts w:hint="eastAsia" w:ascii="华文楷体" w:hAnsi="华文楷体" w:eastAsia="华文楷体" w:cs="华文楷体"/>
              <w:bCs w:val="0"/>
              <w:szCs w:val="24"/>
              <w:lang w:val="en-US" w:eastAsia="zh-CN"/>
            </w:rPr>
            <w:t>2</w:t>
          </w:r>
          <w:r>
            <w:rPr>
              <w:rFonts w:hint="default" w:ascii="华文楷体" w:hAnsi="华文楷体" w:eastAsia="华文楷体" w:cs="华文楷体"/>
              <w:bCs w:val="0"/>
              <w:szCs w:val="24"/>
              <w:lang w:val="en-US" w:eastAsia="zh-CN"/>
            </w:rPr>
            <w:t>.1符合性评审</w:t>
          </w:r>
          <w:r>
            <w:tab/>
          </w:r>
          <w:r>
            <w:fldChar w:fldCharType="begin"/>
          </w:r>
          <w:r>
            <w:instrText xml:space="preserve"> PAGEREF _Toc30182 \h </w:instrText>
          </w:r>
          <w:r>
            <w:fldChar w:fldCharType="separate"/>
          </w:r>
          <w:r>
            <w:t>16</w:t>
          </w:r>
          <w:r>
            <w:fldChar w:fldCharType="end"/>
          </w:r>
          <w:r>
            <w:fldChar w:fldCharType="end"/>
          </w:r>
        </w:p>
        <w:p>
          <w:pPr>
            <w:pStyle w:val="5"/>
            <w:tabs>
              <w:tab w:val="right" w:leader="dot" w:pos="8306"/>
            </w:tabs>
          </w:pPr>
          <w:r>
            <w:fldChar w:fldCharType="begin"/>
          </w:r>
          <w:r>
            <w:instrText xml:space="preserve"> HYPERLINK \l _Toc14345 </w:instrText>
          </w:r>
          <w:r>
            <w:fldChar w:fldCharType="separate"/>
          </w:r>
          <w:r>
            <w:rPr>
              <w:rFonts w:hint="eastAsia" w:ascii="华文楷体" w:hAnsi="华文楷体" w:eastAsia="华文楷体" w:cs="华文楷体"/>
              <w:bCs w:val="0"/>
              <w:szCs w:val="24"/>
              <w:lang w:val="en-US" w:eastAsia="zh-CN"/>
            </w:rPr>
            <w:t>2</w:t>
          </w:r>
          <w:r>
            <w:rPr>
              <w:rFonts w:hint="default" w:ascii="华文楷体" w:hAnsi="华文楷体" w:eastAsia="华文楷体" w:cs="华文楷体"/>
              <w:bCs w:val="0"/>
              <w:szCs w:val="24"/>
              <w:lang w:val="en-US" w:eastAsia="zh-CN"/>
            </w:rPr>
            <w:t>.2详细评审</w:t>
          </w:r>
          <w:r>
            <w:tab/>
          </w:r>
          <w:r>
            <w:fldChar w:fldCharType="begin"/>
          </w:r>
          <w:r>
            <w:instrText xml:space="preserve"> PAGEREF _Toc14345 \h </w:instrText>
          </w:r>
          <w:r>
            <w:fldChar w:fldCharType="separate"/>
          </w:r>
          <w:r>
            <w:t>16</w:t>
          </w:r>
          <w:r>
            <w:fldChar w:fldCharType="end"/>
          </w:r>
          <w:r>
            <w:fldChar w:fldCharType="end"/>
          </w:r>
        </w:p>
        <w:p>
          <w:pPr>
            <w:pStyle w:val="5"/>
            <w:tabs>
              <w:tab w:val="right" w:leader="dot" w:pos="8306"/>
            </w:tabs>
          </w:pPr>
          <w:r>
            <w:fldChar w:fldCharType="begin"/>
          </w:r>
          <w:r>
            <w:instrText xml:space="preserve"> HYPERLINK \l _Toc18522 </w:instrText>
          </w:r>
          <w:r>
            <w:fldChar w:fldCharType="separate"/>
          </w:r>
          <w:r>
            <w:rPr>
              <w:rFonts w:hint="eastAsia" w:ascii="华文楷体" w:hAnsi="华文楷体" w:eastAsia="华文楷体" w:cs="华文楷体"/>
              <w:szCs w:val="24"/>
              <w:lang w:val="en-US" w:eastAsia="zh-CN"/>
            </w:rPr>
            <w:t>三、</w:t>
          </w:r>
          <w:r>
            <w:rPr>
              <w:rFonts w:hint="default" w:ascii="华文楷体" w:hAnsi="华文楷体" w:eastAsia="华文楷体" w:cs="华文楷体"/>
              <w:szCs w:val="24"/>
              <w:lang w:val="en-US" w:eastAsia="zh-CN"/>
            </w:rPr>
            <w:t>投标文件的澄清</w:t>
          </w:r>
          <w:r>
            <w:tab/>
          </w:r>
          <w:r>
            <w:fldChar w:fldCharType="begin"/>
          </w:r>
          <w:r>
            <w:instrText xml:space="preserve"> PAGEREF _Toc18522 \h </w:instrText>
          </w:r>
          <w:r>
            <w:fldChar w:fldCharType="separate"/>
          </w:r>
          <w:r>
            <w:t>17</w:t>
          </w:r>
          <w:r>
            <w:fldChar w:fldCharType="end"/>
          </w:r>
          <w:r>
            <w:fldChar w:fldCharType="end"/>
          </w:r>
        </w:p>
        <w:p>
          <w:pPr>
            <w:pStyle w:val="5"/>
            <w:tabs>
              <w:tab w:val="right" w:leader="dot" w:pos="8306"/>
            </w:tabs>
          </w:pPr>
          <w:r>
            <w:fldChar w:fldCharType="begin"/>
          </w:r>
          <w:r>
            <w:instrText xml:space="preserve"> HYPERLINK \l _Toc748 </w:instrText>
          </w:r>
          <w:r>
            <w:fldChar w:fldCharType="separate"/>
          </w:r>
          <w:r>
            <w:rPr>
              <w:rFonts w:hint="eastAsia" w:ascii="华文楷体" w:hAnsi="华文楷体" w:eastAsia="华文楷体" w:cs="华文楷体"/>
              <w:szCs w:val="24"/>
              <w:lang w:val="en-US" w:eastAsia="zh-CN"/>
            </w:rPr>
            <w:t>四、</w:t>
          </w:r>
          <w:r>
            <w:rPr>
              <w:rFonts w:hint="default" w:ascii="华文楷体" w:hAnsi="华文楷体" w:eastAsia="华文楷体" w:cs="华文楷体"/>
              <w:szCs w:val="24"/>
              <w:lang w:val="en-US" w:eastAsia="zh-CN"/>
            </w:rPr>
            <w:t>评标结果</w:t>
          </w:r>
          <w:r>
            <w:tab/>
          </w:r>
          <w:r>
            <w:fldChar w:fldCharType="begin"/>
          </w:r>
          <w:r>
            <w:instrText xml:space="preserve"> PAGEREF _Toc748 \h </w:instrText>
          </w:r>
          <w:r>
            <w:fldChar w:fldCharType="separate"/>
          </w:r>
          <w:r>
            <w:t>17</w:t>
          </w:r>
          <w:r>
            <w:fldChar w:fldCharType="end"/>
          </w:r>
          <w:r>
            <w:fldChar w:fldCharType="end"/>
          </w:r>
        </w:p>
        <w:p>
          <w:r>
            <w:fldChar w:fldCharType="end"/>
          </w:r>
        </w:p>
      </w:sdtContent>
    </w:sdt>
    <w:p>
      <w:pPr>
        <w:pStyle w:val="2"/>
        <w:bidi w:val="0"/>
        <w:outlineLvl w:val="0"/>
        <w:rPr>
          <w:rFonts w:hint="eastAsia" w:ascii="方正楷体_GBK" w:hAnsi="方正楷体_GBK" w:eastAsia="方正楷体_GBK" w:cs="方正楷体_GBK"/>
          <w:sz w:val="28"/>
          <w:szCs w:val="22"/>
          <w:lang w:val="en-US" w:eastAsia="zh-CN"/>
        </w:rPr>
        <w:sectPr>
          <w:pgSz w:w="11906" w:h="16838"/>
          <w:pgMar w:top="1440" w:right="1800" w:bottom="1440" w:left="1800" w:header="851" w:footer="992" w:gutter="0"/>
          <w:cols w:space="425" w:num="1"/>
          <w:docGrid w:type="lines" w:linePitch="312" w:charSpace="0"/>
        </w:sectPr>
      </w:pPr>
    </w:p>
    <w:p>
      <w:pPr>
        <w:pStyle w:val="2"/>
        <w:bidi w:val="0"/>
        <w:outlineLvl w:val="0"/>
        <w:rPr>
          <w:rFonts w:hint="eastAsia" w:ascii="方正楷体_GBK" w:hAnsi="方正楷体_GBK" w:eastAsia="方正楷体_GBK" w:cs="方正楷体_GBK"/>
          <w:sz w:val="28"/>
          <w:szCs w:val="22"/>
          <w:lang w:val="en-US" w:eastAsia="zh-CN"/>
        </w:rPr>
      </w:pPr>
      <w:bookmarkStart w:id="0" w:name="_Toc20026"/>
      <w:r>
        <w:rPr>
          <w:rFonts w:hint="eastAsia" w:ascii="方正楷体_GBK" w:hAnsi="方正楷体_GBK" w:eastAsia="方正楷体_GBK" w:cs="方正楷体_GBK"/>
          <w:sz w:val="28"/>
          <w:szCs w:val="22"/>
          <w:lang w:val="en-US" w:eastAsia="zh-CN"/>
        </w:rPr>
        <w:t>第一章 公开招标公告</w:t>
      </w:r>
      <w:bookmarkEnd w:id="0"/>
    </w:p>
    <w:p>
      <w:pPr>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见医院官方网站http://www.kyfey.com/</w:t>
      </w:r>
    </w:p>
    <w:p>
      <w:pPr>
        <w:rPr>
          <w:rFonts w:hint="eastAsia" w:ascii="华文楷体" w:hAnsi="华文楷体" w:eastAsia="华文楷体" w:cs="华文楷体"/>
          <w:sz w:val="24"/>
          <w:szCs w:val="24"/>
        </w:rPr>
      </w:pPr>
    </w:p>
    <w:p>
      <w:pPr>
        <w:rPr>
          <w:rFonts w:hint="eastAsia" w:ascii="华文楷体" w:hAnsi="华文楷体" w:eastAsia="华文楷体" w:cs="华文楷体"/>
          <w:sz w:val="24"/>
          <w:szCs w:val="24"/>
        </w:rPr>
        <w:sectPr>
          <w:pgSz w:w="11906" w:h="16838"/>
          <w:pgMar w:top="1440" w:right="1800" w:bottom="1440" w:left="1800" w:header="851" w:footer="992" w:gutter="0"/>
          <w:cols w:space="425" w:num="1"/>
          <w:docGrid w:type="lines" w:linePitch="312" w:charSpace="0"/>
        </w:sectPr>
      </w:pPr>
    </w:p>
    <w:p>
      <w:pPr>
        <w:pStyle w:val="2"/>
        <w:bidi w:val="0"/>
        <w:outlineLvl w:val="0"/>
        <w:rPr>
          <w:rFonts w:hint="eastAsia" w:ascii="方正楷体_GBK" w:hAnsi="方正楷体_GBK" w:eastAsia="方正楷体_GBK" w:cs="方正楷体_GBK"/>
          <w:sz w:val="28"/>
          <w:szCs w:val="22"/>
          <w:lang w:val="en-US" w:eastAsia="zh-CN"/>
        </w:rPr>
      </w:pPr>
      <w:bookmarkStart w:id="1" w:name="_Toc10934"/>
      <w:r>
        <w:rPr>
          <w:rFonts w:hint="eastAsia" w:ascii="方正楷体_GBK" w:hAnsi="方正楷体_GBK" w:eastAsia="方正楷体_GBK" w:cs="方正楷体_GBK"/>
          <w:sz w:val="28"/>
          <w:szCs w:val="22"/>
          <w:lang w:val="en-US" w:eastAsia="zh-CN"/>
        </w:rPr>
        <w:t>第二章 投标人须知</w:t>
      </w:r>
      <w:bookmarkEnd w:id="1"/>
    </w:p>
    <w:tbl>
      <w:tblPr>
        <w:tblStyle w:val="8"/>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6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3021" w:type="dxa"/>
            <w:vAlign w:val="center"/>
          </w:tcPr>
          <w:p>
            <w:pPr>
              <w:pStyle w:val="6"/>
              <w:spacing w:line="300" w:lineRule="exact"/>
              <w:jc w:val="center"/>
              <w:rPr>
                <w:rFonts w:hint="eastAsia" w:ascii="华文楷体" w:hAnsi="华文楷体" w:eastAsia="华文楷体" w:cs="华文楷体"/>
                <w:b/>
                <w:sz w:val="20"/>
                <w:szCs w:val="20"/>
              </w:rPr>
            </w:pPr>
            <w:r>
              <w:rPr>
                <w:rFonts w:hint="eastAsia" w:ascii="华文楷体" w:hAnsi="华文楷体" w:eastAsia="华文楷体" w:cs="华文楷体"/>
                <w:b/>
                <w:sz w:val="20"/>
                <w:szCs w:val="20"/>
              </w:rPr>
              <w:t>条 款 名 称</w:t>
            </w:r>
          </w:p>
        </w:tc>
        <w:tc>
          <w:tcPr>
            <w:tcW w:w="6787" w:type="dxa"/>
            <w:vAlign w:val="center"/>
          </w:tcPr>
          <w:p>
            <w:pPr>
              <w:pStyle w:val="6"/>
              <w:spacing w:line="300" w:lineRule="exact"/>
              <w:jc w:val="center"/>
              <w:rPr>
                <w:rFonts w:hint="eastAsia" w:ascii="华文楷体" w:hAnsi="华文楷体" w:eastAsia="华文楷体" w:cs="华文楷体"/>
                <w:b/>
                <w:sz w:val="20"/>
                <w:szCs w:val="20"/>
              </w:rPr>
            </w:pPr>
            <w:r>
              <w:rPr>
                <w:rFonts w:hint="eastAsia" w:ascii="华文楷体" w:hAnsi="华文楷体" w:eastAsia="华文楷体" w:cs="华文楷体"/>
                <w:b/>
                <w:sz w:val="20"/>
                <w:szCs w:val="20"/>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021" w:type="dxa"/>
            <w:vAlign w:val="center"/>
          </w:tcPr>
          <w:p>
            <w:pPr>
              <w:pStyle w:val="6"/>
              <w:spacing w:line="300" w:lineRule="exact"/>
              <w:rPr>
                <w:rFonts w:hint="eastAsia" w:ascii="华文楷体" w:hAnsi="华文楷体" w:eastAsia="华文楷体" w:cs="华文楷体"/>
                <w:sz w:val="20"/>
                <w:szCs w:val="20"/>
                <w:u w:val="single"/>
              </w:rPr>
            </w:pPr>
            <w:r>
              <w:rPr>
                <w:rFonts w:hint="eastAsia" w:ascii="华文楷体" w:hAnsi="华文楷体" w:eastAsia="华文楷体" w:cs="华文楷体"/>
                <w:bCs/>
                <w:sz w:val="20"/>
                <w:szCs w:val="20"/>
              </w:rPr>
              <w:t>采购人</w:t>
            </w:r>
            <w:r>
              <w:rPr>
                <w:rFonts w:hint="eastAsia" w:ascii="华文楷体" w:hAnsi="华文楷体" w:eastAsia="华文楷体" w:cs="华文楷体"/>
                <w:kern w:val="48"/>
                <w:sz w:val="20"/>
                <w:szCs w:val="20"/>
              </w:rPr>
              <w:t xml:space="preserve"> </w:t>
            </w:r>
          </w:p>
        </w:tc>
        <w:tc>
          <w:tcPr>
            <w:tcW w:w="6787" w:type="dxa"/>
            <w:vAlign w:val="center"/>
          </w:tcPr>
          <w:p>
            <w:pPr>
              <w:pStyle w:val="6"/>
              <w:spacing w:line="300" w:lineRule="exact"/>
              <w:rPr>
                <w:rFonts w:hint="eastAsia" w:ascii="华文楷体" w:hAnsi="华文楷体" w:eastAsia="华文楷体" w:cs="华文楷体"/>
                <w:sz w:val="20"/>
                <w:szCs w:val="20"/>
                <w:u w:val="single"/>
              </w:rPr>
            </w:pPr>
            <w:r>
              <w:rPr>
                <w:rFonts w:hint="eastAsia" w:ascii="华文楷体" w:hAnsi="华文楷体" w:eastAsia="华文楷体" w:cs="华文楷体"/>
                <w:sz w:val="20"/>
                <w:szCs w:val="20"/>
                <w:u w:val="none"/>
              </w:rPr>
              <w:t>昆明医科大学第二附属医院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021" w:type="dxa"/>
            <w:vAlign w:val="center"/>
          </w:tcPr>
          <w:p>
            <w:pPr>
              <w:pStyle w:val="6"/>
              <w:spacing w:line="300" w:lineRule="exact"/>
              <w:rPr>
                <w:rFonts w:hint="eastAsia" w:ascii="华文楷体" w:hAnsi="华文楷体" w:eastAsia="华文楷体" w:cs="华文楷体"/>
                <w:sz w:val="20"/>
                <w:szCs w:val="20"/>
              </w:rPr>
            </w:pPr>
            <w:r>
              <w:rPr>
                <w:rFonts w:hint="eastAsia" w:ascii="华文楷体" w:hAnsi="华文楷体" w:eastAsia="华文楷体" w:cs="华文楷体"/>
                <w:sz w:val="20"/>
                <w:szCs w:val="20"/>
              </w:rPr>
              <w:t>交货</w:t>
            </w:r>
          </w:p>
        </w:tc>
        <w:tc>
          <w:tcPr>
            <w:tcW w:w="6787" w:type="dxa"/>
            <w:vAlign w:val="center"/>
          </w:tcPr>
          <w:p>
            <w:pPr>
              <w:pStyle w:val="6"/>
              <w:spacing w:line="300" w:lineRule="exact"/>
              <w:rPr>
                <w:rFonts w:hint="eastAsia" w:ascii="华文楷体" w:hAnsi="华文楷体" w:eastAsia="华文楷体" w:cs="华文楷体"/>
                <w:sz w:val="20"/>
                <w:szCs w:val="20"/>
              </w:rPr>
            </w:pPr>
            <w:r>
              <w:rPr>
                <w:rFonts w:hint="eastAsia" w:ascii="华文楷体" w:hAnsi="华文楷体" w:eastAsia="华文楷体" w:cs="华文楷体"/>
                <w:sz w:val="20"/>
                <w:szCs w:val="20"/>
              </w:rPr>
              <w:t>交货期：合同签订后</w:t>
            </w:r>
            <w:r>
              <w:rPr>
                <w:rFonts w:hint="eastAsia" w:ascii="华文楷体" w:hAnsi="华文楷体" w:eastAsia="华文楷体" w:cs="华文楷体"/>
                <w:sz w:val="20"/>
                <w:szCs w:val="20"/>
                <w:lang w:val="en-US" w:eastAsia="zh-CN"/>
              </w:rPr>
              <w:t>30</w:t>
            </w:r>
            <w:r>
              <w:rPr>
                <w:rFonts w:hint="eastAsia" w:ascii="华文楷体" w:hAnsi="华文楷体" w:eastAsia="华文楷体" w:cs="华文楷体"/>
                <w:sz w:val="20"/>
                <w:szCs w:val="20"/>
              </w:rPr>
              <w:t>天</w:t>
            </w:r>
            <w:r>
              <w:rPr>
                <w:rFonts w:hint="eastAsia" w:ascii="华文楷体" w:hAnsi="华文楷体" w:eastAsia="华文楷体" w:cs="华文楷体"/>
                <w:sz w:val="20"/>
                <w:szCs w:val="20"/>
                <w:lang w:eastAsia="zh-CN"/>
              </w:rPr>
              <w:t>内（无需签订合同则中标结果公示期满后</w:t>
            </w:r>
            <w:r>
              <w:rPr>
                <w:rFonts w:hint="eastAsia" w:ascii="华文楷体" w:hAnsi="华文楷体" w:eastAsia="华文楷体" w:cs="华文楷体"/>
                <w:sz w:val="20"/>
                <w:szCs w:val="20"/>
                <w:lang w:val="en-US" w:eastAsia="zh-CN"/>
              </w:rPr>
              <w:t>30天内</w:t>
            </w:r>
            <w:r>
              <w:rPr>
                <w:rFonts w:hint="eastAsia" w:ascii="华文楷体" w:hAnsi="华文楷体" w:eastAsia="华文楷体" w:cs="华文楷体"/>
                <w:sz w:val="20"/>
                <w:szCs w:val="20"/>
                <w:lang w:eastAsia="zh-CN"/>
              </w:rPr>
              <w:t>）</w:t>
            </w:r>
            <w:r>
              <w:rPr>
                <w:rFonts w:hint="eastAsia" w:ascii="华文楷体" w:hAnsi="华文楷体" w:eastAsia="华文楷体" w:cs="华文楷体"/>
                <w:sz w:val="20"/>
                <w:szCs w:val="20"/>
              </w:rPr>
              <w:t>。</w:t>
            </w:r>
          </w:p>
          <w:p>
            <w:pPr>
              <w:pStyle w:val="6"/>
              <w:spacing w:line="300" w:lineRule="exact"/>
              <w:rPr>
                <w:rFonts w:hint="eastAsia" w:ascii="华文楷体" w:hAnsi="华文楷体" w:eastAsia="华文楷体" w:cs="华文楷体"/>
                <w:sz w:val="20"/>
                <w:szCs w:val="20"/>
              </w:rPr>
            </w:pPr>
            <w:r>
              <w:rPr>
                <w:rFonts w:hint="eastAsia" w:ascii="华文楷体" w:hAnsi="华文楷体" w:eastAsia="华文楷体" w:cs="华文楷体"/>
                <w:sz w:val="20"/>
                <w:szCs w:val="20"/>
              </w:rPr>
              <w:t>交货地点：</w:t>
            </w:r>
            <w:r>
              <w:rPr>
                <w:rFonts w:hint="eastAsia" w:ascii="华文楷体" w:hAnsi="华文楷体" w:eastAsia="华文楷体" w:cs="华文楷体"/>
                <w:sz w:val="20"/>
                <w:szCs w:val="20"/>
                <w:u w:val="single"/>
              </w:rPr>
              <w:t>昆明医科大学第二附属医院用户指定地点</w:t>
            </w:r>
            <w:r>
              <w:rPr>
                <w:rFonts w:hint="eastAsia" w:ascii="华文楷体" w:hAnsi="华文楷体" w:eastAsia="华文楷体" w:cs="华文楷体"/>
                <w:sz w:val="20"/>
                <w:szCs w:val="20"/>
              </w:rPr>
              <w:t>。</w:t>
            </w:r>
          </w:p>
          <w:p>
            <w:pPr>
              <w:pStyle w:val="6"/>
              <w:spacing w:line="300" w:lineRule="exact"/>
              <w:rPr>
                <w:rFonts w:hint="eastAsia" w:ascii="华文楷体" w:hAnsi="华文楷体" w:eastAsia="华文楷体" w:cs="华文楷体"/>
                <w:sz w:val="20"/>
                <w:szCs w:val="20"/>
              </w:rPr>
            </w:pPr>
            <w:r>
              <w:rPr>
                <w:rFonts w:hint="eastAsia" w:ascii="华文楷体" w:hAnsi="华文楷体" w:eastAsia="华文楷体" w:cs="华文楷体"/>
                <w:sz w:val="20"/>
                <w:szCs w:val="20"/>
              </w:rPr>
              <w:t>交货方式：安装验收完成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021" w:type="dxa"/>
            <w:vAlign w:val="center"/>
          </w:tcPr>
          <w:p>
            <w:pPr>
              <w:autoSpaceDE w:val="0"/>
              <w:autoSpaceDN w:val="0"/>
              <w:snapToGrid w:val="0"/>
              <w:spacing w:line="300" w:lineRule="exact"/>
              <w:textAlignment w:val="bottom"/>
              <w:rPr>
                <w:rFonts w:hint="eastAsia" w:ascii="华文楷体" w:hAnsi="华文楷体" w:eastAsia="华文楷体" w:cs="华文楷体"/>
                <w:sz w:val="20"/>
                <w:szCs w:val="20"/>
              </w:rPr>
            </w:pPr>
            <w:r>
              <w:rPr>
                <w:rFonts w:hint="eastAsia" w:ascii="华文楷体" w:hAnsi="华文楷体" w:eastAsia="华文楷体" w:cs="华文楷体"/>
                <w:sz w:val="20"/>
                <w:szCs w:val="20"/>
              </w:rPr>
              <w:t>纳税证明材料的时间范围</w:t>
            </w:r>
          </w:p>
        </w:tc>
        <w:tc>
          <w:tcPr>
            <w:tcW w:w="6787" w:type="dxa"/>
            <w:vAlign w:val="center"/>
          </w:tcPr>
          <w:p>
            <w:pPr>
              <w:autoSpaceDE w:val="0"/>
              <w:autoSpaceDN w:val="0"/>
              <w:snapToGrid w:val="0"/>
              <w:spacing w:line="300" w:lineRule="exact"/>
              <w:textAlignment w:val="bottom"/>
              <w:rPr>
                <w:rFonts w:hint="eastAsia" w:ascii="华文楷体" w:hAnsi="华文楷体" w:eastAsia="华文楷体" w:cs="华文楷体"/>
                <w:b/>
                <w:sz w:val="20"/>
                <w:szCs w:val="20"/>
              </w:rPr>
            </w:pPr>
            <w:r>
              <w:rPr>
                <w:rFonts w:hint="eastAsia" w:ascii="华文楷体" w:hAnsi="华文楷体" w:eastAsia="华文楷体" w:cs="华文楷体"/>
                <w:b/>
                <w:sz w:val="20"/>
                <w:szCs w:val="20"/>
              </w:rPr>
              <w:t>缴税所属时间在202</w:t>
            </w:r>
            <w:r>
              <w:rPr>
                <w:rFonts w:hint="eastAsia" w:ascii="华文楷体" w:hAnsi="华文楷体" w:eastAsia="华文楷体" w:cs="华文楷体"/>
                <w:b/>
                <w:sz w:val="20"/>
                <w:szCs w:val="20"/>
                <w:lang w:val="en-US" w:eastAsia="zh-CN"/>
              </w:rPr>
              <w:t>1</w:t>
            </w:r>
            <w:r>
              <w:rPr>
                <w:rFonts w:hint="eastAsia" w:ascii="华文楷体" w:hAnsi="华文楷体" w:eastAsia="华文楷体" w:cs="华文楷体"/>
                <w:b/>
                <w:sz w:val="20"/>
                <w:szCs w:val="20"/>
              </w:rPr>
              <w:t>年</w:t>
            </w:r>
            <w:r>
              <w:rPr>
                <w:rFonts w:hint="eastAsia" w:ascii="华文楷体" w:hAnsi="华文楷体" w:eastAsia="华文楷体" w:cs="华文楷体"/>
                <w:b/>
                <w:sz w:val="20"/>
                <w:szCs w:val="20"/>
                <w:u w:val="single"/>
              </w:rPr>
              <w:t>1</w:t>
            </w:r>
            <w:r>
              <w:rPr>
                <w:rFonts w:hint="eastAsia" w:ascii="华文楷体" w:hAnsi="华文楷体" w:eastAsia="华文楷体" w:cs="华文楷体"/>
                <w:b/>
                <w:sz w:val="20"/>
                <w:szCs w:val="20"/>
              </w:rPr>
              <w:t>月至投标截止日期前任意2个月的税务局税收通用缴款书扫描件或银行电子缴税（费）凭证扫描件或税务局出具纳税情况的相关证明扫描件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021" w:type="dxa"/>
            <w:vAlign w:val="center"/>
          </w:tcPr>
          <w:p>
            <w:pPr>
              <w:pStyle w:val="6"/>
              <w:spacing w:line="300" w:lineRule="exact"/>
              <w:rPr>
                <w:rFonts w:hint="eastAsia" w:ascii="华文楷体" w:hAnsi="华文楷体" w:eastAsia="华文楷体" w:cs="华文楷体"/>
                <w:sz w:val="20"/>
                <w:szCs w:val="20"/>
              </w:rPr>
            </w:pPr>
            <w:r>
              <w:rPr>
                <w:rFonts w:hint="eastAsia" w:ascii="华文楷体" w:hAnsi="华文楷体" w:eastAsia="华文楷体" w:cs="华文楷体"/>
                <w:sz w:val="20"/>
                <w:szCs w:val="20"/>
              </w:rPr>
              <w:t>缴纳社会保险证明材料的时间范围</w:t>
            </w:r>
          </w:p>
        </w:tc>
        <w:tc>
          <w:tcPr>
            <w:tcW w:w="6787" w:type="dxa"/>
            <w:vAlign w:val="center"/>
          </w:tcPr>
          <w:p>
            <w:pPr>
              <w:autoSpaceDE w:val="0"/>
              <w:autoSpaceDN w:val="0"/>
              <w:snapToGrid w:val="0"/>
              <w:spacing w:line="300" w:lineRule="exact"/>
              <w:textAlignment w:val="bottom"/>
              <w:rPr>
                <w:rFonts w:hint="eastAsia" w:ascii="华文楷体" w:hAnsi="华文楷体" w:eastAsia="华文楷体" w:cs="华文楷体"/>
                <w:b/>
                <w:sz w:val="20"/>
                <w:szCs w:val="20"/>
              </w:rPr>
            </w:pPr>
            <w:r>
              <w:rPr>
                <w:rFonts w:hint="eastAsia" w:ascii="华文楷体" w:hAnsi="华文楷体" w:eastAsia="华文楷体" w:cs="华文楷体"/>
                <w:b/>
                <w:sz w:val="20"/>
                <w:szCs w:val="20"/>
              </w:rPr>
              <w:t>缴费所属时间在202</w:t>
            </w:r>
            <w:r>
              <w:rPr>
                <w:rFonts w:hint="eastAsia" w:ascii="华文楷体" w:hAnsi="华文楷体" w:eastAsia="华文楷体" w:cs="华文楷体"/>
                <w:b/>
                <w:sz w:val="20"/>
                <w:szCs w:val="20"/>
                <w:lang w:val="en-US" w:eastAsia="zh-CN"/>
              </w:rPr>
              <w:t>1</w:t>
            </w:r>
            <w:r>
              <w:rPr>
                <w:rFonts w:hint="eastAsia" w:ascii="华文楷体" w:hAnsi="华文楷体" w:eastAsia="华文楷体" w:cs="华文楷体"/>
                <w:b/>
                <w:sz w:val="20"/>
                <w:szCs w:val="20"/>
              </w:rPr>
              <w:t>年</w:t>
            </w:r>
            <w:r>
              <w:rPr>
                <w:rFonts w:hint="eastAsia" w:ascii="华文楷体" w:hAnsi="华文楷体" w:eastAsia="华文楷体" w:cs="华文楷体"/>
                <w:b/>
                <w:sz w:val="20"/>
                <w:szCs w:val="20"/>
                <w:u w:val="single"/>
              </w:rPr>
              <w:t>1</w:t>
            </w:r>
            <w:r>
              <w:rPr>
                <w:rFonts w:hint="eastAsia" w:ascii="华文楷体" w:hAnsi="华文楷体" w:eastAsia="华文楷体" w:cs="华文楷体"/>
                <w:b/>
                <w:sz w:val="20"/>
                <w:szCs w:val="20"/>
              </w:rPr>
              <w:t>月至投标截止日期前任意2个月的社会保险费缴款书扫描件或银行电子缴税（费）凭证扫描件或社保管理部门出具的有效的缴款证明扫描件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021" w:type="dxa"/>
            <w:vAlign w:val="center"/>
          </w:tcPr>
          <w:p>
            <w:pPr>
              <w:pStyle w:val="6"/>
              <w:spacing w:line="300" w:lineRule="exact"/>
              <w:rPr>
                <w:rFonts w:hint="eastAsia" w:ascii="华文楷体" w:hAnsi="华文楷体" w:eastAsia="华文楷体" w:cs="华文楷体"/>
                <w:sz w:val="20"/>
                <w:szCs w:val="20"/>
              </w:rPr>
            </w:pPr>
            <w:r>
              <w:rPr>
                <w:rFonts w:hint="eastAsia" w:ascii="华文楷体" w:hAnsi="华文楷体" w:eastAsia="华文楷体" w:cs="华文楷体"/>
                <w:sz w:val="20"/>
                <w:szCs w:val="20"/>
              </w:rPr>
              <w:t>采购人根据采购项目的特殊要求规定的特定条件</w:t>
            </w:r>
          </w:p>
        </w:tc>
        <w:tc>
          <w:tcPr>
            <w:tcW w:w="6787" w:type="dxa"/>
            <w:vAlign w:val="center"/>
          </w:tcPr>
          <w:p>
            <w:pPr>
              <w:autoSpaceDE w:val="0"/>
              <w:autoSpaceDN w:val="0"/>
              <w:snapToGrid w:val="0"/>
              <w:spacing w:line="300" w:lineRule="exact"/>
              <w:textAlignment w:val="bottom"/>
              <w:rPr>
                <w:rFonts w:hint="eastAsia" w:ascii="华文楷体" w:hAnsi="华文楷体" w:eastAsia="华文楷体" w:cs="华文楷体"/>
                <w:sz w:val="20"/>
                <w:szCs w:val="20"/>
                <w:lang w:eastAsia="zh-CN"/>
              </w:rPr>
            </w:pPr>
            <w:r>
              <w:rPr>
                <w:rFonts w:hint="eastAsia" w:ascii="华文楷体" w:hAnsi="华文楷体" w:eastAsia="华文楷体" w:cs="华文楷体"/>
                <w:sz w:val="20"/>
                <w:szCs w:val="20"/>
              </w:rPr>
              <w:t>见第一章“公开招标公告”</w:t>
            </w:r>
            <w:r>
              <w:rPr>
                <w:rFonts w:hint="eastAsia" w:ascii="华文楷体" w:hAnsi="华文楷体" w:eastAsia="华文楷体" w:cs="华文楷体"/>
                <w:sz w:val="20"/>
                <w:szCs w:val="20"/>
                <w:lang w:eastAsia="zh-CN"/>
              </w:rPr>
              <w:t>，第六章资格评审标准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3021" w:type="dxa"/>
            <w:vAlign w:val="center"/>
          </w:tcPr>
          <w:p>
            <w:pPr>
              <w:pStyle w:val="6"/>
              <w:spacing w:line="300" w:lineRule="exact"/>
              <w:rPr>
                <w:rFonts w:hint="eastAsia" w:ascii="华文楷体" w:hAnsi="华文楷体" w:eastAsia="华文楷体" w:cs="华文楷体"/>
                <w:sz w:val="20"/>
                <w:szCs w:val="20"/>
              </w:rPr>
            </w:pPr>
            <w:r>
              <w:rPr>
                <w:rFonts w:hint="eastAsia" w:ascii="华文楷体" w:hAnsi="华文楷体" w:eastAsia="华文楷体" w:cs="华文楷体"/>
                <w:sz w:val="20"/>
                <w:szCs w:val="20"/>
              </w:rPr>
              <w:t>★是否接受联合体投标</w:t>
            </w:r>
          </w:p>
        </w:tc>
        <w:tc>
          <w:tcPr>
            <w:tcW w:w="6787" w:type="dxa"/>
            <w:vAlign w:val="center"/>
          </w:tcPr>
          <w:p>
            <w:pPr>
              <w:pStyle w:val="6"/>
              <w:spacing w:line="300" w:lineRule="exact"/>
              <w:jc w:val="left"/>
              <w:rPr>
                <w:rFonts w:hint="eastAsia" w:ascii="华文楷体" w:hAnsi="华文楷体" w:eastAsia="华文楷体" w:cs="华文楷体"/>
                <w:sz w:val="20"/>
                <w:szCs w:val="20"/>
              </w:rPr>
            </w:pPr>
            <w:r>
              <w:rPr>
                <w:rFonts w:hint="eastAsia" w:ascii="华文楷体" w:hAnsi="华文楷体" w:eastAsia="华文楷体" w:cs="华文楷体"/>
                <w:sz w:val="20"/>
                <w:szCs w:val="20"/>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3021" w:type="dxa"/>
            <w:vAlign w:val="center"/>
          </w:tcPr>
          <w:p>
            <w:pPr>
              <w:pStyle w:val="6"/>
              <w:spacing w:line="300" w:lineRule="exact"/>
              <w:rPr>
                <w:rFonts w:hint="eastAsia" w:ascii="华文楷体" w:hAnsi="华文楷体" w:eastAsia="华文楷体" w:cs="华文楷体"/>
                <w:sz w:val="20"/>
                <w:szCs w:val="20"/>
              </w:rPr>
            </w:pPr>
            <w:r>
              <w:rPr>
                <w:rFonts w:hint="eastAsia" w:ascii="华文楷体" w:hAnsi="华文楷体" w:eastAsia="华文楷体" w:cs="华文楷体"/>
                <w:sz w:val="20"/>
                <w:szCs w:val="20"/>
              </w:rPr>
              <w:t>★本项目预算金额</w:t>
            </w:r>
            <w:r>
              <w:rPr>
                <w:rFonts w:hint="eastAsia" w:ascii="华文楷体" w:hAnsi="华文楷体" w:eastAsia="华文楷体" w:cs="华文楷体"/>
                <w:sz w:val="20"/>
                <w:szCs w:val="20"/>
                <w:lang w:eastAsia="zh-CN"/>
              </w:rPr>
              <w:t>、</w:t>
            </w:r>
            <w:r>
              <w:rPr>
                <w:rFonts w:hint="eastAsia" w:ascii="华文楷体" w:hAnsi="华文楷体" w:eastAsia="华文楷体" w:cs="华文楷体"/>
                <w:sz w:val="20"/>
                <w:szCs w:val="20"/>
              </w:rPr>
              <w:t>最高限价</w:t>
            </w:r>
          </w:p>
        </w:tc>
        <w:tc>
          <w:tcPr>
            <w:tcW w:w="6787" w:type="dxa"/>
            <w:vAlign w:val="center"/>
          </w:tcPr>
          <w:p>
            <w:pPr>
              <w:autoSpaceDE w:val="0"/>
              <w:autoSpaceDN w:val="0"/>
              <w:snapToGrid w:val="0"/>
              <w:spacing w:line="300" w:lineRule="exact"/>
              <w:textAlignment w:val="bottom"/>
              <w:rPr>
                <w:rFonts w:hint="eastAsia" w:ascii="华文楷体" w:hAnsi="华文楷体" w:eastAsia="华文楷体" w:cs="华文楷体"/>
                <w:bCs/>
                <w:sz w:val="20"/>
                <w:szCs w:val="20"/>
              </w:rPr>
            </w:pPr>
            <w:r>
              <w:rPr>
                <w:rFonts w:hint="eastAsia" w:ascii="华文楷体" w:hAnsi="华文楷体" w:eastAsia="华文楷体" w:cs="华文楷体"/>
                <w:sz w:val="20"/>
                <w:szCs w:val="20"/>
              </w:rPr>
              <w:t>见第一章“公开招标公告”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3021" w:type="dxa"/>
            <w:vAlign w:val="center"/>
          </w:tcPr>
          <w:p>
            <w:pPr>
              <w:pStyle w:val="6"/>
              <w:spacing w:line="300" w:lineRule="exact"/>
              <w:rPr>
                <w:rFonts w:hint="eastAsia" w:ascii="华文楷体" w:hAnsi="华文楷体" w:eastAsia="华文楷体" w:cs="华文楷体"/>
                <w:sz w:val="20"/>
                <w:szCs w:val="20"/>
              </w:rPr>
            </w:pPr>
            <w:r>
              <w:rPr>
                <w:rFonts w:hint="eastAsia" w:ascii="华文楷体" w:hAnsi="华文楷体" w:eastAsia="华文楷体" w:cs="华文楷体"/>
                <w:sz w:val="20"/>
                <w:szCs w:val="20"/>
              </w:rPr>
              <w:t>备品备件</w:t>
            </w:r>
          </w:p>
        </w:tc>
        <w:tc>
          <w:tcPr>
            <w:tcW w:w="6787" w:type="dxa"/>
            <w:vAlign w:val="center"/>
          </w:tcPr>
          <w:p>
            <w:pPr>
              <w:spacing w:line="300" w:lineRule="exact"/>
              <w:jc w:val="left"/>
              <w:rPr>
                <w:rFonts w:hint="eastAsia" w:ascii="华文楷体" w:hAnsi="华文楷体" w:eastAsia="华文楷体" w:cs="华文楷体"/>
                <w:sz w:val="20"/>
                <w:szCs w:val="20"/>
              </w:rPr>
            </w:pPr>
            <w:r>
              <w:rPr>
                <w:rFonts w:hint="eastAsia" w:ascii="华文楷体" w:hAnsi="华文楷体" w:eastAsia="华文楷体" w:cs="华文楷体"/>
                <w:sz w:val="20"/>
                <w:szCs w:val="20"/>
              </w:rPr>
              <w:t>本次招标（■要求 □不要求）提供所需的备品备件。设备验收开始使用后至保质期内正常、连续地使用所必须的备品备件，计入投标价中。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021" w:type="dxa"/>
            <w:vAlign w:val="center"/>
          </w:tcPr>
          <w:p>
            <w:pPr>
              <w:spacing w:line="300" w:lineRule="exact"/>
              <w:jc w:val="left"/>
              <w:rPr>
                <w:rFonts w:hint="eastAsia" w:ascii="华文楷体" w:hAnsi="华文楷体" w:eastAsia="华文楷体" w:cs="华文楷体"/>
                <w:sz w:val="20"/>
                <w:szCs w:val="20"/>
              </w:rPr>
            </w:pPr>
            <w:r>
              <w:rPr>
                <w:rFonts w:hint="eastAsia" w:ascii="华文楷体" w:hAnsi="华文楷体" w:eastAsia="华文楷体" w:cs="华文楷体"/>
                <w:sz w:val="20"/>
                <w:szCs w:val="20"/>
              </w:rPr>
              <w:t>技术服务费</w:t>
            </w:r>
          </w:p>
        </w:tc>
        <w:tc>
          <w:tcPr>
            <w:tcW w:w="6787" w:type="dxa"/>
            <w:vAlign w:val="center"/>
          </w:tcPr>
          <w:p>
            <w:pPr>
              <w:spacing w:line="300" w:lineRule="exact"/>
              <w:jc w:val="left"/>
              <w:rPr>
                <w:rFonts w:hint="eastAsia" w:ascii="华文楷体" w:hAnsi="华文楷体" w:eastAsia="华文楷体" w:cs="华文楷体"/>
                <w:sz w:val="20"/>
                <w:szCs w:val="20"/>
              </w:rPr>
            </w:pPr>
            <w:r>
              <w:rPr>
                <w:rFonts w:hint="eastAsia" w:ascii="华文楷体" w:hAnsi="华文楷体" w:eastAsia="华文楷体" w:cs="华文楷体"/>
                <w:sz w:val="20"/>
                <w:szCs w:val="20"/>
              </w:rPr>
              <w:t>提供现场服务（包括安装和调试费用），并按“技术要求”提供人员培训的费用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21" w:type="dxa"/>
            <w:vAlign w:val="center"/>
          </w:tcPr>
          <w:p>
            <w:pPr>
              <w:pStyle w:val="6"/>
              <w:spacing w:line="300" w:lineRule="exact"/>
              <w:rPr>
                <w:rFonts w:hint="eastAsia" w:ascii="华文楷体" w:hAnsi="华文楷体" w:eastAsia="华文楷体" w:cs="华文楷体"/>
                <w:sz w:val="20"/>
                <w:szCs w:val="20"/>
              </w:rPr>
            </w:pPr>
            <w:r>
              <w:rPr>
                <w:rFonts w:hint="eastAsia" w:ascii="华文楷体" w:hAnsi="华文楷体" w:eastAsia="华文楷体" w:cs="华文楷体"/>
                <w:sz w:val="20"/>
                <w:szCs w:val="20"/>
              </w:rPr>
              <w:t>★投标文件有效期</w:t>
            </w:r>
          </w:p>
        </w:tc>
        <w:tc>
          <w:tcPr>
            <w:tcW w:w="6787" w:type="dxa"/>
            <w:vAlign w:val="center"/>
          </w:tcPr>
          <w:p>
            <w:pPr>
              <w:pStyle w:val="6"/>
              <w:spacing w:line="300" w:lineRule="exact"/>
              <w:rPr>
                <w:rFonts w:hint="eastAsia" w:ascii="华文楷体" w:hAnsi="华文楷体" w:eastAsia="华文楷体" w:cs="华文楷体"/>
                <w:sz w:val="20"/>
                <w:szCs w:val="20"/>
              </w:rPr>
            </w:pPr>
            <w:r>
              <w:rPr>
                <w:rFonts w:hint="eastAsia" w:ascii="华文楷体" w:hAnsi="华文楷体" w:eastAsia="华文楷体" w:cs="华文楷体"/>
                <w:sz w:val="20"/>
                <w:szCs w:val="20"/>
              </w:rPr>
              <w:t>从提交投标文件截止之日起</w:t>
            </w:r>
            <w:r>
              <w:rPr>
                <w:rFonts w:hint="eastAsia" w:ascii="华文楷体" w:hAnsi="华文楷体" w:eastAsia="华文楷体" w:cs="华文楷体"/>
                <w:sz w:val="20"/>
                <w:szCs w:val="20"/>
                <w:u w:val="single"/>
              </w:rPr>
              <w:t>90</w:t>
            </w:r>
            <w:r>
              <w:rPr>
                <w:rFonts w:hint="eastAsia" w:ascii="华文楷体" w:hAnsi="华文楷体" w:eastAsia="华文楷体" w:cs="华文楷体"/>
                <w:sz w:val="20"/>
                <w:szCs w:val="20"/>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21" w:type="dxa"/>
            <w:vAlign w:val="center"/>
          </w:tcPr>
          <w:p>
            <w:pPr>
              <w:pStyle w:val="6"/>
              <w:spacing w:line="300" w:lineRule="exact"/>
              <w:rPr>
                <w:rFonts w:hint="eastAsia" w:ascii="华文楷体" w:hAnsi="华文楷体" w:eastAsia="华文楷体" w:cs="华文楷体"/>
                <w:sz w:val="20"/>
                <w:szCs w:val="20"/>
              </w:rPr>
            </w:pPr>
            <w:r>
              <w:rPr>
                <w:rFonts w:hint="eastAsia" w:ascii="华文楷体" w:hAnsi="华文楷体" w:eastAsia="华文楷体" w:cs="华文楷体"/>
                <w:sz w:val="20"/>
                <w:szCs w:val="20"/>
              </w:rPr>
              <w:t>分包</w:t>
            </w:r>
          </w:p>
        </w:tc>
        <w:tc>
          <w:tcPr>
            <w:tcW w:w="6787" w:type="dxa"/>
            <w:vAlign w:val="center"/>
          </w:tcPr>
          <w:p>
            <w:pPr>
              <w:pStyle w:val="6"/>
              <w:spacing w:line="300" w:lineRule="exact"/>
              <w:rPr>
                <w:rFonts w:hint="eastAsia" w:ascii="华文楷体" w:hAnsi="华文楷体" w:eastAsia="华文楷体" w:cs="华文楷体"/>
                <w:sz w:val="20"/>
                <w:szCs w:val="20"/>
              </w:rPr>
            </w:pPr>
            <w:r>
              <w:rPr>
                <w:rFonts w:hint="eastAsia" w:ascii="华文楷体" w:hAnsi="华文楷体" w:eastAsia="华文楷体" w:cs="华文楷体"/>
                <w:sz w:val="20"/>
                <w:szCs w:val="20"/>
              </w:rPr>
              <w:t>■本项目不得分包。</w:t>
            </w:r>
          </w:p>
          <w:p>
            <w:pPr>
              <w:pStyle w:val="6"/>
              <w:spacing w:line="300" w:lineRule="exact"/>
              <w:rPr>
                <w:rFonts w:hint="eastAsia" w:ascii="华文楷体" w:hAnsi="华文楷体" w:eastAsia="华文楷体" w:cs="华文楷体"/>
                <w:sz w:val="20"/>
                <w:szCs w:val="20"/>
              </w:rPr>
            </w:pPr>
            <w:r>
              <w:rPr>
                <w:rFonts w:hint="eastAsia" w:ascii="华文楷体" w:hAnsi="华文楷体" w:eastAsia="华文楷体" w:cs="华文楷体"/>
                <w:sz w:val="20"/>
                <w:szCs w:val="20"/>
              </w:rPr>
              <w:t>□本项目中，</w:t>
            </w:r>
            <w:r>
              <w:rPr>
                <w:rFonts w:hint="eastAsia" w:ascii="华文楷体" w:hAnsi="华文楷体" w:eastAsia="华文楷体" w:cs="华文楷体"/>
                <w:sz w:val="20"/>
                <w:szCs w:val="20"/>
                <w:u w:val="single"/>
              </w:rPr>
              <w:t xml:space="preserve">            </w:t>
            </w:r>
            <w:r>
              <w:rPr>
                <w:rFonts w:hint="eastAsia" w:ascii="华文楷体" w:hAnsi="华文楷体" w:eastAsia="华文楷体" w:cs="华文楷体"/>
                <w:sz w:val="20"/>
                <w:szCs w:val="20"/>
              </w:rPr>
              <w:t>可以分包。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021" w:type="dxa"/>
            <w:vAlign w:val="center"/>
          </w:tcPr>
          <w:p>
            <w:pPr>
              <w:pStyle w:val="6"/>
              <w:spacing w:line="300" w:lineRule="exact"/>
              <w:rPr>
                <w:rFonts w:hint="eastAsia" w:ascii="华文楷体" w:hAnsi="华文楷体" w:eastAsia="华文楷体" w:cs="华文楷体"/>
                <w:sz w:val="20"/>
                <w:szCs w:val="20"/>
              </w:rPr>
            </w:pPr>
            <w:r>
              <w:rPr>
                <w:rFonts w:hint="eastAsia" w:ascii="华文楷体" w:hAnsi="华文楷体" w:eastAsia="华文楷体" w:cs="华文楷体"/>
                <w:sz w:val="20"/>
                <w:szCs w:val="20"/>
              </w:rPr>
              <w:t>提交投标文件截止时间</w:t>
            </w:r>
          </w:p>
        </w:tc>
        <w:tc>
          <w:tcPr>
            <w:tcW w:w="6787" w:type="dxa"/>
            <w:vAlign w:val="center"/>
          </w:tcPr>
          <w:p>
            <w:pPr>
              <w:pStyle w:val="6"/>
              <w:spacing w:line="300" w:lineRule="exact"/>
              <w:ind w:left="695" w:hanging="662" w:hangingChars="331"/>
              <w:rPr>
                <w:rFonts w:hint="eastAsia" w:ascii="华文楷体" w:hAnsi="华文楷体" w:eastAsia="华文楷体" w:cs="华文楷体"/>
                <w:b/>
                <w:sz w:val="20"/>
                <w:szCs w:val="20"/>
              </w:rPr>
            </w:pPr>
            <w:r>
              <w:rPr>
                <w:rFonts w:hint="eastAsia" w:ascii="华文楷体" w:hAnsi="华文楷体" w:eastAsia="华文楷体" w:cs="华文楷体"/>
                <w:sz w:val="20"/>
                <w:szCs w:val="20"/>
              </w:rPr>
              <w:t>见第一章“公开招标公告”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021" w:type="dxa"/>
            <w:vAlign w:val="center"/>
          </w:tcPr>
          <w:p>
            <w:pPr>
              <w:pStyle w:val="6"/>
              <w:spacing w:line="300" w:lineRule="exact"/>
              <w:rPr>
                <w:rFonts w:hint="eastAsia" w:ascii="华文楷体" w:hAnsi="华文楷体" w:eastAsia="华文楷体" w:cs="华文楷体"/>
                <w:sz w:val="20"/>
                <w:szCs w:val="20"/>
                <w:highlight w:val="yellow"/>
                <w:lang w:eastAsia="zh-CN"/>
              </w:rPr>
            </w:pPr>
            <w:r>
              <w:rPr>
                <w:rFonts w:hint="eastAsia" w:ascii="华文楷体" w:hAnsi="华文楷体" w:eastAsia="华文楷体" w:cs="华文楷体"/>
                <w:sz w:val="20"/>
                <w:szCs w:val="20"/>
                <w:highlight w:val="yellow"/>
              </w:rPr>
              <w:t>投标文件</w:t>
            </w:r>
            <w:r>
              <w:rPr>
                <w:rFonts w:hint="eastAsia" w:ascii="华文楷体" w:hAnsi="华文楷体" w:eastAsia="华文楷体" w:cs="华文楷体"/>
                <w:sz w:val="20"/>
                <w:szCs w:val="20"/>
                <w:highlight w:val="yellow"/>
                <w:lang w:eastAsia="zh-CN"/>
              </w:rPr>
              <w:t>份数</w:t>
            </w:r>
          </w:p>
        </w:tc>
        <w:tc>
          <w:tcPr>
            <w:tcW w:w="6787" w:type="dxa"/>
            <w:vAlign w:val="center"/>
          </w:tcPr>
          <w:p>
            <w:pPr>
              <w:pStyle w:val="6"/>
              <w:spacing w:line="300" w:lineRule="exact"/>
              <w:ind w:left="695" w:hanging="662" w:hangingChars="331"/>
              <w:rPr>
                <w:rFonts w:hint="eastAsia" w:ascii="华文楷体" w:hAnsi="华文楷体" w:eastAsia="华文楷体" w:cs="华文楷体"/>
                <w:sz w:val="20"/>
                <w:szCs w:val="20"/>
                <w:highlight w:val="yellow"/>
                <w:lang w:eastAsia="zh-CN"/>
              </w:rPr>
            </w:pPr>
            <w:r>
              <w:rPr>
                <w:rFonts w:hint="eastAsia" w:ascii="华文楷体" w:hAnsi="华文楷体" w:eastAsia="华文楷体" w:cs="华文楷体"/>
                <w:sz w:val="20"/>
                <w:szCs w:val="20"/>
                <w:highlight w:val="yellow"/>
                <w:lang w:eastAsia="zh-CN"/>
              </w:rPr>
              <w:t>一式三份，一正二副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021" w:type="dxa"/>
            <w:vAlign w:val="center"/>
          </w:tcPr>
          <w:p>
            <w:pPr>
              <w:pStyle w:val="6"/>
              <w:spacing w:line="300" w:lineRule="exact"/>
              <w:rPr>
                <w:rFonts w:hint="eastAsia" w:ascii="华文楷体" w:hAnsi="华文楷体" w:eastAsia="华文楷体" w:cs="华文楷体"/>
                <w:sz w:val="20"/>
                <w:szCs w:val="20"/>
              </w:rPr>
            </w:pPr>
            <w:r>
              <w:rPr>
                <w:rFonts w:hint="eastAsia" w:ascii="华文楷体" w:hAnsi="华文楷体" w:eastAsia="华文楷体" w:cs="华文楷体"/>
                <w:sz w:val="20"/>
                <w:szCs w:val="20"/>
              </w:rPr>
              <w:t>开标时间和地点</w:t>
            </w:r>
          </w:p>
        </w:tc>
        <w:tc>
          <w:tcPr>
            <w:tcW w:w="6787" w:type="dxa"/>
            <w:vAlign w:val="center"/>
          </w:tcPr>
          <w:p>
            <w:pPr>
              <w:pStyle w:val="6"/>
              <w:spacing w:line="300" w:lineRule="exact"/>
              <w:rPr>
                <w:rFonts w:hint="eastAsia" w:ascii="华文楷体" w:hAnsi="华文楷体" w:eastAsia="华文楷体" w:cs="华文楷体"/>
                <w:sz w:val="20"/>
                <w:szCs w:val="20"/>
              </w:rPr>
            </w:pPr>
            <w:r>
              <w:rPr>
                <w:rFonts w:hint="eastAsia" w:ascii="华文楷体" w:hAnsi="华文楷体" w:eastAsia="华文楷体" w:cs="华文楷体"/>
                <w:sz w:val="20"/>
                <w:szCs w:val="20"/>
              </w:rPr>
              <w:t>见第一章“公开招标公告”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021" w:type="dxa"/>
            <w:vAlign w:val="center"/>
          </w:tcPr>
          <w:p>
            <w:pPr>
              <w:pStyle w:val="6"/>
              <w:spacing w:line="300" w:lineRule="exact"/>
              <w:rPr>
                <w:rFonts w:hint="eastAsia" w:ascii="华文楷体" w:hAnsi="华文楷体" w:eastAsia="华文楷体" w:cs="华文楷体"/>
                <w:sz w:val="20"/>
                <w:szCs w:val="20"/>
              </w:rPr>
            </w:pPr>
            <w:r>
              <w:rPr>
                <w:rFonts w:hint="eastAsia" w:ascii="华文楷体" w:hAnsi="华文楷体" w:eastAsia="华文楷体" w:cs="华文楷体"/>
                <w:sz w:val="20"/>
                <w:szCs w:val="20"/>
              </w:rPr>
              <w:t>评标方法</w:t>
            </w:r>
          </w:p>
        </w:tc>
        <w:tc>
          <w:tcPr>
            <w:tcW w:w="6787" w:type="dxa"/>
            <w:vAlign w:val="center"/>
          </w:tcPr>
          <w:p>
            <w:pPr>
              <w:spacing w:line="300" w:lineRule="exact"/>
              <w:rPr>
                <w:rFonts w:hint="eastAsia" w:ascii="华文楷体" w:hAnsi="华文楷体" w:eastAsia="华文楷体" w:cs="华文楷体"/>
                <w:sz w:val="20"/>
                <w:szCs w:val="20"/>
              </w:rPr>
            </w:pPr>
            <w:r>
              <w:rPr>
                <w:rFonts w:hint="eastAsia" w:ascii="华文楷体" w:hAnsi="华文楷体" w:eastAsia="华文楷体" w:cs="华文楷体"/>
                <w:sz w:val="20"/>
                <w:szCs w:val="20"/>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021" w:type="dxa"/>
            <w:vAlign w:val="center"/>
          </w:tcPr>
          <w:p>
            <w:pPr>
              <w:pStyle w:val="6"/>
              <w:spacing w:line="300" w:lineRule="exact"/>
              <w:rPr>
                <w:rFonts w:hint="eastAsia" w:ascii="华文楷体" w:hAnsi="华文楷体" w:eastAsia="华文楷体" w:cs="华文楷体"/>
                <w:sz w:val="20"/>
                <w:szCs w:val="20"/>
              </w:rPr>
            </w:pPr>
            <w:r>
              <w:rPr>
                <w:rFonts w:hint="eastAsia" w:ascii="华文楷体" w:hAnsi="华文楷体" w:eastAsia="华文楷体" w:cs="华文楷体"/>
                <w:sz w:val="20"/>
                <w:szCs w:val="20"/>
              </w:rPr>
              <w:t>备选方案</w:t>
            </w:r>
          </w:p>
        </w:tc>
        <w:tc>
          <w:tcPr>
            <w:tcW w:w="6787" w:type="dxa"/>
            <w:vAlign w:val="center"/>
          </w:tcPr>
          <w:p>
            <w:pPr>
              <w:pStyle w:val="6"/>
              <w:spacing w:line="300" w:lineRule="exact"/>
              <w:rPr>
                <w:rFonts w:hint="eastAsia" w:ascii="华文楷体" w:hAnsi="华文楷体" w:eastAsia="华文楷体" w:cs="华文楷体"/>
                <w:sz w:val="20"/>
                <w:szCs w:val="20"/>
              </w:rPr>
            </w:pPr>
            <w:r>
              <w:rPr>
                <w:rFonts w:hint="eastAsia" w:ascii="华文楷体" w:hAnsi="华文楷体" w:eastAsia="华文楷体" w:cs="华文楷体"/>
                <w:sz w:val="20"/>
                <w:szCs w:val="20"/>
              </w:rPr>
              <w:t>不接受</w:t>
            </w:r>
          </w:p>
        </w:tc>
      </w:tr>
    </w:tbl>
    <w:p>
      <w:pPr>
        <w:rPr>
          <w:rFonts w:hint="eastAsia" w:ascii="华文楷体" w:hAnsi="华文楷体" w:eastAsia="华文楷体" w:cs="华文楷体"/>
          <w:sz w:val="24"/>
          <w:szCs w:val="24"/>
        </w:rPr>
        <w:sectPr>
          <w:pgSz w:w="11906" w:h="16838"/>
          <w:pgMar w:top="1440" w:right="1800" w:bottom="1440" w:left="1800" w:header="851" w:footer="992" w:gutter="0"/>
          <w:cols w:space="425" w:num="1"/>
          <w:docGrid w:type="lines" w:linePitch="312" w:charSpace="0"/>
        </w:sectPr>
      </w:pPr>
    </w:p>
    <w:p>
      <w:pPr>
        <w:pStyle w:val="3"/>
        <w:bidi w:val="0"/>
        <w:outlineLvl w:val="1"/>
        <w:rPr>
          <w:rFonts w:hint="eastAsia" w:ascii="华文楷体" w:hAnsi="华文楷体" w:eastAsia="华文楷体" w:cs="华文楷体"/>
          <w:sz w:val="24"/>
          <w:szCs w:val="24"/>
          <w:lang w:eastAsia="zh-CN"/>
        </w:rPr>
      </w:pPr>
      <w:bookmarkStart w:id="2" w:name="_Toc20876"/>
      <w:r>
        <w:rPr>
          <w:rFonts w:hint="eastAsia" w:ascii="华文楷体" w:hAnsi="华文楷体" w:eastAsia="华文楷体" w:cs="华文楷体"/>
          <w:sz w:val="24"/>
          <w:szCs w:val="24"/>
          <w:lang w:eastAsia="zh-CN"/>
        </w:rPr>
        <w:t>一、合格的投标人</w:t>
      </w:r>
      <w:bookmarkEnd w:id="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1</w:t>
      </w:r>
      <w:r>
        <w:rPr>
          <w:rFonts w:hint="eastAsia" w:ascii="华文楷体" w:hAnsi="华文楷体" w:eastAsia="华文楷体" w:cs="华文楷体"/>
          <w:sz w:val="24"/>
          <w:szCs w:val="24"/>
          <w:lang w:val="en-US" w:eastAsia="zh-CN"/>
        </w:rPr>
        <w:t xml:space="preserve"> </w:t>
      </w:r>
      <w:r>
        <w:rPr>
          <w:rFonts w:hint="default" w:ascii="华文楷体" w:hAnsi="华文楷体" w:eastAsia="华文楷体" w:cs="华文楷体"/>
          <w:sz w:val="24"/>
          <w:szCs w:val="24"/>
          <w:lang w:val="en-US" w:eastAsia="zh-CN"/>
        </w:rPr>
        <w:t>投标人应具备《中华人民共和国政府采购法》第二十二条规定的条件，并提供下列材料：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1.1投标人必须具备独立承担民事责任的能力，提供法人或者其他组织的营业执照等证明文件；投标人是自然人的，提供自然人身份证明（扫描件加盖电子公章）；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1.2投标人须提供</w:t>
      </w:r>
      <w:r>
        <w:rPr>
          <w:rFonts w:hint="default" w:ascii="华文楷体" w:hAnsi="华文楷体" w:eastAsia="华文楷体" w:cs="华文楷体"/>
          <w:b/>
          <w:bCs/>
          <w:sz w:val="24"/>
          <w:szCs w:val="24"/>
          <w:lang w:val="en-US" w:eastAsia="zh-CN"/>
        </w:rPr>
        <w:t>财务状况报告</w:t>
      </w:r>
      <w:r>
        <w:rPr>
          <w:rFonts w:hint="default" w:ascii="华文楷体" w:hAnsi="华文楷体" w:eastAsia="华文楷体" w:cs="华文楷体"/>
          <w:sz w:val="24"/>
          <w:szCs w:val="24"/>
          <w:lang w:val="en-US" w:eastAsia="zh-CN"/>
        </w:rPr>
        <w:t>，内容可为以下</w:t>
      </w:r>
      <w:r>
        <w:rPr>
          <w:rFonts w:hint="default" w:ascii="华文楷体" w:hAnsi="华文楷体" w:eastAsia="华文楷体" w:cs="华文楷体"/>
          <w:sz w:val="24"/>
          <w:szCs w:val="24"/>
          <w:highlight w:val="yellow"/>
          <w:lang w:val="en-US" w:eastAsia="zh-CN"/>
        </w:rPr>
        <w:t>三者之一</w:t>
      </w:r>
      <w:r>
        <w:rPr>
          <w:rFonts w:hint="default" w:ascii="华文楷体" w:hAnsi="华文楷体" w:eastAsia="华文楷体" w:cs="华文楷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1）近三个月内基本开户银行出具的资信证明（扫描件加盖电子公章）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2）201</w:t>
      </w:r>
      <w:r>
        <w:rPr>
          <w:rFonts w:hint="eastAsia" w:ascii="华文楷体" w:hAnsi="华文楷体" w:eastAsia="华文楷体" w:cs="华文楷体"/>
          <w:sz w:val="24"/>
          <w:szCs w:val="24"/>
          <w:lang w:val="en-US" w:eastAsia="zh-CN"/>
        </w:rPr>
        <w:t>9</w:t>
      </w:r>
      <w:r>
        <w:rPr>
          <w:rFonts w:hint="default" w:ascii="华文楷体" w:hAnsi="华文楷体" w:eastAsia="华文楷体" w:cs="华文楷体"/>
          <w:sz w:val="24"/>
          <w:szCs w:val="24"/>
          <w:lang w:val="en-US" w:eastAsia="zh-CN"/>
        </w:rPr>
        <w:t>年-202</w:t>
      </w:r>
      <w:r>
        <w:rPr>
          <w:rFonts w:hint="eastAsia" w:ascii="华文楷体" w:hAnsi="华文楷体" w:eastAsia="华文楷体" w:cs="华文楷体"/>
          <w:sz w:val="24"/>
          <w:szCs w:val="24"/>
          <w:lang w:val="en-US" w:eastAsia="zh-CN"/>
        </w:rPr>
        <w:t>2</w:t>
      </w:r>
      <w:r>
        <w:rPr>
          <w:rFonts w:hint="default" w:ascii="华文楷体" w:hAnsi="华文楷体" w:eastAsia="华文楷体" w:cs="华文楷体"/>
          <w:sz w:val="24"/>
          <w:szCs w:val="24"/>
          <w:lang w:val="en-US" w:eastAsia="zh-CN"/>
        </w:rPr>
        <w:t>年任意一年度经审计的财务审计报告，包括“四表一注”，即资产负债表、利润表、现金流量表、所有者权益变动表及其附注（扫描件加盖电子公章）；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3）财政部门认可的政府采购专业担保机构出具的投标担保函，须同时提供专业担保机构经财政部门认可的证明文件。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1.3投标人提供近期内（具体月份详见“投标人须知前附表”）的</w:t>
      </w:r>
      <w:r>
        <w:rPr>
          <w:rFonts w:hint="default" w:ascii="华文楷体" w:hAnsi="华文楷体" w:eastAsia="华文楷体" w:cs="华文楷体"/>
          <w:b/>
          <w:bCs/>
          <w:sz w:val="24"/>
          <w:szCs w:val="24"/>
          <w:lang w:val="en-US" w:eastAsia="zh-CN"/>
        </w:rPr>
        <w:t>税务局税收通用缴款书扫描件或银行电子缴税（费）凭证扫描件或税务局出具纳税情况的相关证明</w:t>
      </w:r>
      <w:r>
        <w:rPr>
          <w:rFonts w:hint="default" w:ascii="华文楷体" w:hAnsi="华文楷体" w:eastAsia="华文楷体" w:cs="华文楷体"/>
          <w:sz w:val="24"/>
          <w:szCs w:val="24"/>
          <w:lang w:val="en-US" w:eastAsia="zh-CN"/>
        </w:rPr>
        <w:t>扫描件；依法免税的投标人，应提供相应文件证明其依法免税。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1.4投标人提供近期内（具体月份详见“投标人须知前附表”）的</w:t>
      </w:r>
      <w:r>
        <w:rPr>
          <w:rFonts w:hint="default" w:ascii="华文楷体" w:hAnsi="华文楷体" w:eastAsia="华文楷体" w:cs="华文楷体"/>
          <w:b/>
          <w:bCs/>
          <w:sz w:val="24"/>
          <w:szCs w:val="24"/>
          <w:lang w:val="en-US" w:eastAsia="zh-CN"/>
        </w:rPr>
        <w:t>社会保险费缴款书扫描件或银行电子缴税（费）凭证扫描件或社保管理部门出具的有效的缴款证明扫描件</w:t>
      </w:r>
      <w:r>
        <w:rPr>
          <w:rFonts w:hint="default" w:ascii="华文楷体" w:hAnsi="华文楷体" w:eastAsia="华文楷体" w:cs="华文楷体"/>
          <w:sz w:val="24"/>
          <w:szCs w:val="24"/>
          <w:lang w:val="en-US" w:eastAsia="zh-CN"/>
        </w:rPr>
        <w:t>；依法不需要缴纳社会保障资金的投标人，应提供相应文件证明其依法不需要缴纳社会保障资金。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1.5投标人须提供具备履行合同所必需的设备和专业技术能力的证明材料</w:t>
      </w:r>
      <w:r>
        <w:rPr>
          <w:rFonts w:hint="eastAsia" w:ascii="华文楷体" w:hAnsi="华文楷体" w:eastAsia="华文楷体" w:cs="华文楷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1.6投标人必须提供参加政府采购活动前3年内在经营活动中没有重大违法记录的书面声明（重大违法记录，是指供应商因违法经营受到刑事处罚或者责令停产停业、吊销许可证或者执照、较大数额罚款等行政处罚）</w:t>
      </w:r>
      <w:r>
        <w:rPr>
          <w:rFonts w:hint="eastAsia" w:ascii="华文楷体" w:hAnsi="华文楷体" w:eastAsia="华文楷体" w:cs="华文楷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2 投标人应符合采购人根据采购项目的特殊要求规定的特定条件。特定条件见</w:t>
      </w:r>
      <w:r>
        <w:rPr>
          <w:rFonts w:hint="eastAsia" w:ascii="华文楷体" w:hAnsi="华文楷体" w:eastAsia="华文楷体" w:cs="华文楷体"/>
          <w:sz w:val="24"/>
          <w:szCs w:val="24"/>
          <w:lang w:val="en-US" w:eastAsia="zh-CN"/>
        </w:rPr>
        <w:t>公告文件</w:t>
      </w:r>
      <w:r>
        <w:rPr>
          <w:rFonts w:hint="default" w:ascii="华文楷体" w:hAnsi="华文楷体" w:eastAsia="华文楷体" w:cs="华文楷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b/>
          <w:bCs/>
          <w:sz w:val="24"/>
          <w:szCs w:val="24"/>
          <w:lang w:val="en-US" w:eastAsia="zh-CN"/>
        </w:rPr>
      </w:pPr>
      <w:r>
        <w:rPr>
          <w:rFonts w:hint="default" w:ascii="华文楷体" w:hAnsi="华文楷体" w:eastAsia="华文楷体" w:cs="华文楷体"/>
          <w:b/>
          <w:bCs/>
          <w:sz w:val="24"/>
          <w:szCs w:val="24"/>
          <w:lang w:val="en-US" w:eastAsia="zh-CN"/>
        </w:rPr>
        <w:t>3单位负责人为同一人或者存在直接控股、管理关系的不同投标人，不得参加同一招标项目包的政府采购活动。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4投标人在本项目投标截止时间前未被列入“信用中国”网站（www.creditchina.gov.cn）失信被执行人、重大税收违法案件当事人名单、政府采购严重违法失信行为记录名单及中国政府采购网（www.ccgp.gov.cn）“政府采购严重违法失信行为信息记录名单”</w:t>
      </w:r>
      <w:r>
        <w:rPr>
          <w:rFonts w:hint="eastAsia" w:ascii="华文楷体" w:hAnsi="华文楷体" w:eastAsia="华文楷体" w:cs="华文楷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b/>
          <w:bCs/>
          <w:sz w:val="24"/>
          <w:szCs w:val="24"/>
          <w:lang w:val="en-US" w:eastAsia="zh-CN"/>
        </w:rPr>
      </w:pPr>
      <w:r>
        <w:rPr>
          <w:rFonts w:hint="eastAsia" w:ascii="华文楷体" w:hAnsi="华文楷体" w:eastAsia="华文楷体" w:cs="华文楷体"/>
          <w:sz w:val="24"/>
          <w:szCs w:val="24"/>
          <w:lang w:val="en-US" w:eastAsia="zh-CN"/>
        </w:rPr>
        <w:t>5</w:t>
      </w:r>
      <w:r>
        <w:rPr>
          <w:rFonts w:hint="eastAsia" w:ascii="华文楷体" w:hAnsi="华文楷体" w:eastAsia="华文楷体" w:cs="华文楷体"/>
          <w:b/>
          <w:bCs/>
          <w:sz w:val="24"/>
          <w:szCs w:val="24"/>
          <w:lang w:val="en-US" w:eastAsia="zh-CN"/>
        </w:rPr>
        <w:t>所投产品为进口货物的，需提供制造商出具的授权书或总代理商出具的授权书及售后服务承诺函(不接受二级以下授权，如果授权是二级的，必须提供上一级别的授权)。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6 投标人如果是代理商或经销商且所投产品为医疗器械，须提供医疗器械经营许可证/备案，所投产品制造商医疗器械生产许可证（境外制造商除外）、所投产品的医疗器械注册证及附件；投标人如果是制造商且所投产品为医疗器械，须提供医疗器械生产许可证（境外制造商除外）、所投产品的医疗器械注册证及附件。医疗器械生产或经营许可证生产或经营范围须覆盖所投器械。根据中华人民共和国国务院令第 650 号《医疗器械监督管理条例》和国家药品监督管理局《医疗器械分类目录》的规定，在《医疗器械分类目录》内的产品必须按照《医疗器械监督管理条例》的要求提供，其他不在《医疗器械分类目录》内的不作强行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7</w:t>
      </w:r>
      <w:r>
        <w:rPr>
          <w:rFonts w:hint="default" w:ascii="华文楷体" w:hAnsi="华文楷体" w:eastAsia="华文楷体" w:cs="华文楷体"/>
          <w:sz w:val="24"/>
          <w:szCs w:val="24"/>
          <w:lang w:val="en-US" w:eastAsia="zh-CN"/>
        </w:rPr>
        <w:t>投标费用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7</w:t>
      </w:r>
      <w:r>
        <w:rPr>
          <w:rFonts w:hint="default" w:ascii="华文楷体" w:hAnsi="华文楷体" w:eastAsia="华文楷体" w:cs="华文楷体"/>
          <w:sz w:val="24"/>
          <w:szCs w:val="24"/>
          <w:lang w:val="en-US" w:eastAsia="zh-CN"/>
        </w:rPr>
        <w:t>.1不论投标结果如何，投标人均应自行承担所有与准备和参加投标活动有关的全部费用。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8</w:t>
      </w:r>
      <w:r>
        <w:rPr>
          <w:rFonts w:hint="default" w:ascii="华文楷体" w:hAnsi="华文楷体" w:eastAsia="华文楷体" w:cs="华文楷体"/>
          <w:sz w:val="24"/>
          <w:szCs w:val="24"/>
          <w:lang w:val="en-US" w:eastAsia="zh-CN"/>
        </w:rPr>
        <w:t>.质疑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8</w:t>
      </w:r>
      <w:r>
        <w:rPr>
          <w:rFonts w:hint="default" w:ascii="华文楷体" w:hAnsi="华文楷体" w:eastAsia="华文楷体" w:cs="华文楷体"/>
          <w:sz w:val="24"/>
          <w:szCs w:val="24"/>
          <w:lang w:val="en-US" w:eastAsia="zh-CN"/>
        </w:rPr>
        <w:t>.1 投标人认为招标文件、招标过程和中标结果使自己的权益受到损害的，应当在知道或者应知其权益受到损害之日起7个工作日内，以书面形式向</w:t>
      </w:r>
      <w:r>
        <w:rPr>
          <w:rFonts w:hint="eastAsia" w:ascii="华文楷体" w:hAnsi="华文楷体" w:eastAsia="华文楷体" w:cs="华文楷体"/>
          <w:sz w:val="24"/>
          <w:szCs w:val="24"/>
          <w:lang w:val="en-US" w:eastAsia="zh-CN"/>
        </w:rPr>
        <w:t>医院</w:t>
      </w:r>
      <w:r>
        <w:rPr>
          <w:rFonts w:hint="default" w:ascii="华文楷体" w:hAnsi="华文楷体" w:eastAsia="华文楷体" w:cs="华文楷体"/>
          <w:sz w:val="24"/>
          <w:szCs w:val="24"/>
          <w:lang w:val="en-US" w:eastAsia="zh-CN"/>
        </w:rPr>
        <w:t>一次性提出针对同一采购程序环节的质疑。质疑内容不得含有虚假、恶意成分。当事人对自己提出的主张，有责任提供证据，提出质疑时应同时提交相关证据材料和注明事实的确切来源。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8</w:t>
      </w:r>
      <w:r>
        <w:rPr>
          <w:rFonts w:hint="default" w:ascii="华文楷体" w:hAnsi="华文楷体" w:eastAsia="华文楷体" w:cs="华文楷体"/>
          <w:sz w:val="24"/>
          <w:szCs w:val="24"/>
          <w:lang w:val="en-US" w:eastAsia="zh-CN"/>
        </w:rPr>
        <w:t>.2供应商应知其权益受到损害之日，是指：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（1）对可以质疑的招标文件提出质疑的，为投标人在</w:t>
      </w:r>
      <w:r>
        <w:rPr>
          <w:rFonts w:hint="eastAsia" w:ascii="华文楷体" w:hAnsi="华文楷体" w:eastAsia="华文楷体" w:cs="华文楷体"/>
          <w:sz w:val="24"/>
          <w:szCs w:val="24"/>
          <w:lang w:val="en-US" w:eastAsia="zh-CN"/>
        </w:rPr>
        <w:t>昆明医科大学第二附属医院官方网站</w:t>
      </w:r>
      <w:r>
        <w:rPr>
          <w:rFonts w:hint="default" w:ascii="华文楷体" w:hAnsi="华文楷体" w:eastAsia="华文楷体" w:cs="华文楷体"/>
          <w:sz w:val="24"/>
          <w:szCs w:val="24"/>
          <w:lang w:val="en-US" w:eastAsia="zh-CN"/>
        </w:rPr>
        <w:t>获取采购文件之日；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（2）对采购过程提出质疑的，为各采购程序环节结束之日；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（3）对中标结果提出质疑的，为中标结果公告期限届满之日。</w:t>
      </w:r>
    </w:p>
    <w:p>
      <w:pPr>
        <w:pStyle w:val="3"/>
        <w:bidi w:val="0"/>
        <w:outlineLvl w:val="1"/>
        <w:rPr>
          <w:rFonts w:hint="eastAsia" w:ascii="华文楷体" w:hAnsi="华文楷体" w:eastAsia="华文楷体" w:cs="华文楷体"/>
          <w:b/>
          <w:sz w:val="24"/>
          <w:szCs w:val="24"/>
          <w:lang w:eastAsia="zh-CN"/>
        </w:rPr>
      </w:pPr>
      <w:bookmarkStart w:id="3" w:name="_Toc1816"/>
      <w:r>
        <w:rPr>
          <w:rFonts w:hint="eastAsia" w:ascii="华文楷体" w:hAnsi="华文楷体" w:eastAsia="华文楷体" w:cs="华文楷体"/>
          <w:b/>
          <w:sz w:val="24"/>
          <w:szCs w:val="24"/>
          <w:lang w:eastAsia="zh-CN"/>
        </w:rPr>
        <w:t>二、招标文件</w:t>
      </w:r>
      <w:bookmarkEnd w:id="3"/>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华文楷体" w:hAnsi="华文楷体" w:eastAsia="华文楷体" w:cs="华文楷体"/>
          <w:sz w:val="24"/>
          <w:szCs w:val="24"/>
          <w:lang w:val="en-US" w:eastAsia="zh-CN"/>
        </w:rPr>
      </w:pPr>
      <w:bookmarkStart w:id="4" w:name="_Toc2934"/>
      <w:r>
        <w:rPr>
          <w:rFonts w:hint="eastAsia" w:ascii="华文楷体" w:hAnsi="华文楷体" w:eastAsia="华文楷体" w:cs="华文楷体"/>
          <w:sz w:val="24"/>
          <w:szCs w:val="24"/>
          <w:lang w:val="en-US" w:eastAsia="zh-CN"/>
        </w:rPr>
        <w:t>1 招标文件构成</w:t>
      </w:r>
      <w:bookmarkEnd w:id="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楷体" w:hAnsi="华文楷体" w:eastAsia="华文楷体" w:cs="华文楷体"/>
          <w:sz w:val="24"/>
          <w:szCs w:val="24"/>
        </w:rPr>
      </w:pPr>
      <w:r>
        <w:rPr>
          <w:rFonts w:hint="eastAsia" w:ascii="华文楷体" w:hAnsi="华文楷体" w:eastAsia="华文楷体" w:cs="华文楷体"/>
          <w:sz w:val="24"/>
          <w:szCs w:val="24"/>
        </w:rPr>
        <w:t>要求提供的货物、采购过程及合同条款在招标文件中均有说明，招标文件共七章，各章的内容如下：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楷体" w:hAnsi="华文楷体" w:eastAsia="华文楷体" w:cs="华文楷体"/>
          <w:sz w:val="24"/>
          <w:szCs w:val="24"/>
        </w:rPr>
      </w:pPr>
      <w:r>
        <w:rPr>
          <w:rFonts w:hint="eastAsia" w:ascii="华文楷体" w:hAnsi="华文楷体" w:eastAsia="华文楷体" w:cs="华文楷体"/>
          <w:sz w:val="24"/>
          <w:szCs w:val="24"/>
        </w:rPr>
        <w:t>第一章  公开招标公告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楷体" w:hAnsi="华文楷体" w:eastAsia="华文楷体" w:cs="华文楷体"/>
          <w:sz w:val="24"/>
          <w:szCs w:val="24"/>
        </w:rPr>
      </w:pPr>
      <w:r>
        <w:rPr>
          <w:rFonts w:hint="eastAsia" w:ascii="华文楷体" w:hAnsi="华文楷体" w:eastAsia="华文楷体" w:cs="华文楷体"/>
          <w:sz w:val="24"/>
          <w:szCs w:val="24"/>
        </w:rPr>
        <w:t>第二章  投标人须知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楷体" w:hAnsi="华文楷体" w:eastAsia="华文楷体" w:cs="华文楷体"/>
          <w:sz w:val="24"/>
          <w:szCs w:val="24"/>
        </w:rPr>
      </w:pPr>
      <w:r>
        <w:rPr>
          <w:rFonts w:hint="eastAsia" w:ascii="华文楷体" w:hAnsi="华文楷体" w:eastAsia="华文楷体" w:cs="华文楷体"/>
          <w:sz w:val="24"/>
          <w:szCs w:val="24"/>
        </w:rPr>
        <w:t>第三章  合同书样式及主要条款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第四章  投标文件格式</w:t>
      </w:r>
      <w:r>
        <w:rPr>
          <w:rFonts w:hint="eastAsia" w:ascii="华文楷体" w:hAnsi="华文楷体" w:eastAsia="华文楷体" w:cs="华文楷体"/>
          <w:sz w:val="24"/>
          <w:szCs w:val="24"/>
          <w:lang w:eastAsia="zh-CN"/>
        </w:rPr>
        <w:t>（附件）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楷体" w:hAnsi="华文楷体" w:eastAsia="华文楷体" w:cs="华文楷体"/>
          <w:sz w:val="24"/>
          <w:szCs w:val="24"/>
        </w:rPr>
      </w:pPr>
      <w:r>
        <w:rPr>
          <w:rFonts w:hint="eastAsia" w:ascii="华文楷体" w:hAnsi="华文楷体" w:eastAsia="华文楷体" w:cs="华文楷体"/>
          <w:sz w:val="24"/>
          <w:szCs w:val="24"/>
        </w:rPr>
        <w:t>第五章  项目需求及技术要求</w:t>
      </w:r>
      <w:r>
        <w:rPr>
          <w:rFonts w:hint="eastAsia" w:ascii="华文楷体" w:hAnsi="华文楷体" w:eastAsia="华文楷体" w:cs="华文楷体"/>
          <w:sz w:val="24"/>
          <w:szCs w:val="24"/>
          <w:lang w:eastAsia="zh-CN"/>
        </w:rPr>
        <w:t>（附件）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第六章 </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资格评审标准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楷体" w:hAnsi="华文楷体" w:eastAsia="华文楷体" w:cs="华文楷体"/>
          <w:sz w:val="24"/>
          <w:szCs w:val="24"/>
        </w:rPr>
      </w:pPr>
      <w:r>
        <w:rPr>
          <w:rFonts w:hint="eastAsia" w:ascii="华文楷体" w:hAnsi="华文楷体" w:eastAsia="华文楷体" w:cs="华文楷体"/>
          <w:sz w:val="24"/>
          <w:szCs w:val="24"/>
        </w:rPr>
        <w:t>第七章  评标方法</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default" w:ascii="华文楷体" w:hAnsi="华文楷体" w:eastAsia="华文楷体" w:cs="华文楷体"/>
          <w:sz w:val="24"/>
          <w:szCs w:val="24"/>
          <w:lang w:val="en-US" w:eastAsia="zh-CN"/>
        </w:rPr>
      </w:pPr>
      <w:bookmarkStart w:id="5" w:name="_Toc26052"/>
      <w:r>
        <w:rPr>
          <w:rFonts w:hint="eastAsia" w:ascii="华文楷体" w:hAnsi="华文楷体" w:eastAsia="华文楷体" w:cs="华文楷体"/>
          <w:sz w:val="24"/>
          <w:szCs w:val="24"/>
          <w:lang w:val="en-US" w:eastAsia="zh-CN"/>
        </w:rPr>
        <w:t>2 招标文件的澄清或者修改</w:t>
      </w:r>
      <w:bookmarkEnd w:id="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楷体" w:hAnsi="华文楷体" w:eastAsia="华文楷体" w:cs="华文楷体"/>
          <w:sz w:val="24"/>
          <w:szCs w:val="24"/>
        </w:rPr>
      </w:pPr>
      <w:r>
        <w:rPr>
          <w:rFonts w:hint="eastAsia" w:ascii="华文楷体" w:hAnsi="华文楷体" w:eastAsia="华文楷体" w:cs="华文楷体"/>
          <w:sz w:val="24"/>
          <w:szCs w:val="24"/>
        </w:rPr>
        <w:t>在投标截止时间前，无论出于何种原因，采购人可主动地或在解答投标人提出的澄清问题时对招标文件进行修改，澄清和修改均为招标文件的组成部分，当所发出的招标文件澄清或修改不一致时，以最后发出的为准。采购人在投标截止时间前对招标文件所作的补充、修改或者更正、澄清一并构成招标文件的组成部分。招标文件的修改将以书面形式或网上公告并通知所有报名的投标人，并对其具有约束力。为使投标人编写投标文件时有充分时间对招标文件的修改部分进行研究，采购人可以自行酌情延长投标截止时间，并将此变更通知所有报名的投标人。</w:t>
      </w:r>
    </w:p>
    <w:p>
      <w:pPr>
        <w:pStyle w:val="3"/>
        <w:bidi w:val="0"/>
        <w:outlineLvl w:val="1"/>
        <w:rPr>
          <w:rFonts w:hint="eastAsia" w:ascii="华文楷体" w:hAnsi="华文楷体" w:eastAsia="华文楷体" w:cs="华文楷体"/>
          <w:b/>
          <w:sz w:val="24"/>
          <w:szCs w:val="24"/>
          <w:lang w:eastAsia="zh-CN"/>
        </w:rPr>
      </w:pPr>
      <w:bookmarkStart w:id="6" w:name="_Toc23893"/>
      <w:r>
        <w:rPr>
          <w:rFonts w:hint="eastAsia" w:ascii="华文楷体" w:hAnsi="华文楷体" w:eastAsia="华文楷体" w:cs="华文楷体"/>
          <w:b/>
          <w:sz w:val="24"/>
          <w:szCs w:val="24"/>
          <w:lang w:eastAsia="zh-CN"/>
        </w:rPr>
        <w:t>三、投标文件</w:t>
      </w:r>
      <w:bookmarkEnd w:id="6"/>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华文楷体" w:hAnsi="华文楷体" w:eastAsia="华文楷体" w:cs="华文楷体"/>
          <w:sz w:val="24"/>
          <w:szCs w:val="24"/>
        </w:rPr>
      </w:pPr>
      <w:bookmarkStart w:id="7" w:name="_Toc27940"/>
      <w:r>
        <w:rPr>
          <w:rFonts w:hint="eastAsia" w:ascii="华文楷体" w:hAnsi="华文楷体" w:eastAsia="华文楷体" w:cs="华文楷体"/>
          <w:sz w:val="24"/>
          <w:szCs w:val="24"/>
        </w:rPr>
        <w:t>1</w:t>
      </w:r>
      <w:r>
        <w:rPr>
          <w:rFonts w:hint="eastAsia" w:ascii="华文楷体" w:hAnsi="华文楷体" w:eastAsia="华文楷体" w:cs="华文楷体"/>
          <w:sz w:val="24"/>
          <w:szCs w:val="24"/>
          <w:lang w:val="en-US" w:eastAsia="zh-CN"/>
        </w:rPr>
        <w:t xml:space="preserve"> </w:t>
      </w:r>
      <w:r>
        <w:rPr>
          <w:rFonts w:hint="eastAsia" w:ascii="华文楷体" w:hAnsi="华文楷体" w:eastAsia="华文楷体" w:cs="华文楷体"/>
          <w:sz w:val="24"/>
          <w:szCs w:val="24"/>
        </w:rPr>
        <w:t>投标文件编写注意事项</w:t>
      </w:r>
      <w:bookmarkEnd w:id="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楷体" w:hAnsi="华文楷体" w:eastAsia="华文楷体" w:cs="华文楷体"/>
          <w:sz w:val="24"/>
          <w:szCs w:val="24"/>
        </w:rPr>
      </w:pPr>
      <w:r>
        <w:rPr>
          <w:rFonts w:hint="eastAsia" w:ascii="华文楷体" w:hAnsi="华文楷体" w:eastAsia="华文楷体" w:cs="华文楷体"/>
          <w:sz w:val="24"/>
          <w:szCs w:val="24"/>
        </w:rPr>
        <w:t>1.1投标人应仔细阅读招标文件，在完全了解采购的内容、技术性能要求(详见“项目需求及技术要求”)和商务条件后，编写投标文件。招标文件中标注★号的条款为实质性要求和条件，投标文件必须响应招标文件的实质性要求和条件，不满足任何一条将导致投标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楷体" w:hAnsi="华文楷体" w:eastAsia="华文楷体" w:cs="华文楷体"/>
          <w:sz w:val="24"/>
          <w:szCs w:val="24"/>
        </w:rPr>
      </w:pPr>
      <w:r>
        <w:rPr>
          <w:rFonts w:hint="eastAsia" w:ascii="华文楷体" w:hAnsi="华文楷体" w:eastAsia="华文楷体" w:cs="华文楷体"/>
          <w:sz w:val="24"/>
          <w:szCs w:val="24"/>
        </w:rPr>
        <w:t>1.2 对招标文件提出的实质性要求和条件作出响应是指：投标人必须对招标文件中的实质性要求和条件的内容作出满足或者优于原要求和条件的承诺，并提供相应的证明材料。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华文楷体" w:hAnsi="华文楷体" w:eastAsia="华文楷体" w:cs="华文楷体"/>
          <w:sz w:val="24"/>
          <w:szCs w:val="24"/>
        </w:rPr>
      </w:pPr>
      <w:bookmarkStart w:id="8" w:name="_Toc31839"/>
      <w:r>
        <w:rPr>
          <w:rFonts w:hint="eastAsia" w:ascii="华文楷体" w:hAnsi="华文楷体" w:eastAsia="华文楷体" w:cs="华文楷体"/>
          <w:sz w:val="24"/>
          <w:szCs w:val="24"/>
        </w:rPr>
        <w:t>2. 投标的语言及计量单位</w:t>
      </w:r>
      <w:bookmarkEnd w:id="8"/>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楷体" w:hAnsi="华文楷体" w:eastAsia="华文楷体" w:cs="华文楷体"/>
          <w:sz w:val="24"/>
          <w:szCs w:val="24"/>
        </w:rPr>
      </w:pPr>
      <w:r>
        <w:rPr>
          <w:rFonts w:hint="eastAsia" w:ascii="华文楷体" w:hAnsi="华文楷体" w:eastAsia="华文楷体" w:cs="华文楷体"/>
          <w:sz w:val="24"/>
          <w:szCs w:val="24"/>
        </w:rPr>
        <w:t>2.1投标人的投标文件统一使用中文（特别规定除外）。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楷体" w:hAnsi="华文楷体" w:eastAsia="华文楷体" w:cs="华文楷体"/>
          <w:sz w:val="24"/>
          <w:szCs w:val="24"/>
        </w:rPr>
      </w:pPr>
      <w:r>
        <w:rPr>
          <w:rFonts w:hint="eastAsia" w:ascii="华文楷体" w:hAnsi="华文楷体" w:eastAsia="华文楷体" w:cs="华文楷体"/>
          <w:sz w:val="24"/>
          <w:szCs w:val="24"/>
        </w:rPr>
        <w:t>2.2投标文件中使用的计量单位除招标文件中有特殊规定外，一律使用中国法定计量单位。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华文楷体" w:hAnsi="华文楷体" w:eastAsia="华文楷体" w:cs="华文楷体"/>
          <w:sz w:val="24"/>
          <w:szCs w:val="24"/>
          <w:lang w:val="en-US" w:eastAsia="zh-CN"/>
        </w:rPr>
      </w:pPr>
      <w:bookmarkStart w:id="9" w:name="_Toc27688"/>
      <w:r>
        <w:rPr>
          <w:rFonts w:hint="eastAsia" w:ascii="华文楷体" w:hAnsi="华文楷体" w:eastAsia="华文楷体" w:cs="华文楷体"/>
          <w:sz w:val="24"/>
          <w:szCs w:val="24"/>
          <w:lang w:val="en-US" w:eastAsia="zh-CN"/>
        </w:rPr>
        <w:t>3 投标文件构成（格式）</w:t>
      </w:r>
      <w:bookmarkEnd w:id="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见附件。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华文楷体" w:hAnsi="华文楷体" w:eastAsia="华文楷体" w:cs="华文楷体"/>
          <w:sz w:val="24"/>
          <w:szCs w:val="24"/>
          <w:lang w:val="en-US" w:eastAsia="zh-CN"/>
        </w:rPr>
      </w:pPr>
      <w:bookmarkStart w:id="10" w:name="_Toc30738"/>
      <w:r>
        <w:rPr>
          <w:rFonts w:hint="eastAsia" w:ascii="华文楷体" w:hAnsi="华文楷体" w:eastAsia="华文楷体" w:cs="华文楷体"/>
          <w:sz w:val="24"/>
          <w:szCs w:val="24"/>
          <w:lang w:val="en-US" w:eastAsia="zh-CN"/>
        </w:rPr>
        <w:t>4 投标报价</w:t>
      </w:r>
      <w:bookmarkEnd w:id="1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w:t>
      </w:r>
      <w:r>
        <w:rPr>
          <w:rFonts w:hint="eastAsia" w:ascii="华文楷体" w:hAnsi="华文楷体" w:eastAsia="华文楷体" w:cs="华文楷体"/>
          <w:sz w:val="24"/>
          <w:szCs w:val="24"/>
          <w:lang w:val="en-US" w:eastAsia="zh-CN"/>
        </w:rPr>
        <w:t>4.</w:t>
      </w:r>
      <w:r>
        <w:rPr>
          <w:rFonts w:hint="default" w:ascii="华文楷体" w:hAnsi="华文楷体" w:eastAsia="华文楷体" w:cs="华文楷体"/>
          <w:sz w:val="24"/>
          <w:szCs w:val="24"/>
          <w:lang w:val="en-US" w:eastAsia="zh-CN"/>
        </w:rPr>
        <w:t>1本项目预算金额及最高限价见“投标人须知前附表”</w:t>
      </w:r>
      <w:r>
        <w:rPr>
          <w:rFonts w:hint="eastAsia" w:ascii="华文楷体" w:hAnsi="华文楷体" w:eastAsia="华文楷体" w:cs="华文楷体"/>
          <w:sz w:val="24"/>
          <w:szCs w:val="24"/>
          <w:lang w:val="en-US" w:eastAsia="zh-CN"/>
        </w:rPr>
        <w:t>或招标公告</w:t>
      </w:r>
      <w:r>
        <w:rPr>
          <w:rFonts w:hint="default" w:ascii="华文楷体" w:hAnsi="华文楷体" w:eastAsia="华文楷体" w:cs="华文楷体"/>
          <w:sz w:val="24"/>
          <w:szCs w:val="24"/>
          <w:lang w:val="en-US" w:eastAsia="zh-CN"/>
        </w:rPr>
        <w:t>，</w:t>
      </w:r>
      <w:r>
        <w:rPr>
          <w:rFonts w:hint="default" w:ascii="华文楷体" w:hAnsi="华文楷体" w:eastAsia="华文楷体" w:cs="华文楷体"/>
          <w:b/>
          <w:bCs/>
          <w:sz w:val="24"/>
          <w:szCs w:val="24"/>
          <w:lang w:val="en-US" w:eastAsia="zh-CN"/>
        </w:rPr>
        <w:t>若投标人的投标报价超过最高限价</w:t>
      </w:r>
      <w:r>
        <w:rPr>
          <w:rFonts w:hint="eastAsia" w:ascii="华文楷体" w:hAnsi="华文楷体" w:eastAsia="华文楷体" w:cs="华文楷体"/>
          <w:b/>
          <w:bCs/>
          <w:sz w:val="24"/>
          <w:szCs w:val="24"/>
          <w:lang w:val="en-US" w:eastAsia="zh-CN"/>
        </w:rPr>
        <w:t>/预算价</w:t>
      </w:r>
      <w:r>
        <w:rPr>
          <w:rFonts w:hint="default" w:ascii="华文楷体" w:hAnsi="华文楷体" w:eastAsia="华文楷体" w:cs="华文楷体"/>
          <w:b/>
          <w:bCs/>
          <w:sz w:val="24"/>
          <w:szCs w:val="24"/>
          <w:lang w:val="en-US" w:eastAsia="zh-CN"/>
        </w:rPr>
        <w:t>，按不实质性响应招标文件要求处理。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4</w:t>
      </w:r>
      <w:r>
        <w:rPr>
          <w:rFonts w:hint="default" w:ascii="华文楷体" w:hAnsi="华文楷体" w:eastAsia="华文楷体" w:cs="华文楷体"/>
          <w:sz w:val="24"/>
          <w:szCs w:val="24"/>
          <w:lang w:val="en-US" w:eastAsia="zh-CN"/>
        </w:rPr>
        <w:t>.2投标人须就“项目需求及技术要求”中的所投包货物内容作完整唯一报价。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4.3</w:t>
      </w:r>
      <w:r>
        <w:rPr>
          <w:rFonts w:hint="default" w:ascii="华文楷体" w:hAnsi="华文楷体" w:eastAsia="华文楷体" w:cs="华文楷体"/>
          <w:sz w:val="24"/>
          <w:szCs w:val="24"/>
          <w:lang w:val="en-US" w:eastAsia="zh-CN"/>
        </w:rPr>
        <w:t>投标以人民币报价。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5</w:t>
      </w:r>
      <w:r>
        <w:rPr>
          <w:rFonts w:hint="default" w:ascii="华文楷体" w:hAnsi="华文楷体" w:eastAsia="华文楷体" w:cs="华文楷体"/>
          <w:sz w:val="24"/>
          <w:szCs w:val="24"/>
          <w:lang w:val="en-US" w:eastAsia="zh-CN"/>
        </w:rPr>
        <w:t>投标文件应尽量避免涂改、行间插字或删除。如果出现上述情况，改动之处应加盖单位章或由投标人的法定代表人（签名或盖章）确认。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w:t>
      </w:r>
      <w:r>
        <w:rPr>
          <w:rFonts w:hint="eastAsia" w:ascii="华文楷体" w:hAnsi="华文楷体" w:eastAsia="华文楷体" w:cs="华文楷体"/>
          <w:sz w:val="24"/>
          <w:szCs w:val="24"/>
          <w:lang w:val="en-US" w:eastAsia="zh-CN"/>
        </w:rPr>
        <w:t>6</w:t>
      </w:r>
      <w:r>
        <w:rPr>
          <w:rFonts w:hint="default" w:ascii="华文楷体" w:hAnsi="华文楷体" w:eastAsia="华文楷体" w:cs="华文楷体"/>
          <w:sz w:val="24"/>
          <w:szCs w:val="24"/>
          <w:lang w:val="en-US" w:eastAsia="zh-CN"/>
        </w:rPr>
        <w:t>关键内容字迹潦草、表达不清、未按要求填写而导致非唯一理解，视为未实质性响应招标文件的投标文件。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7</w:t>
      </w:r>
      <w:r>
        <w:rPr>
          <w:rFonts w:hint="default" w:ascii="华文楷体" w:hAnsi="华文楷体" w:eastAsia="华文楷体" w:cs="华文楷体"/>
          <w:sz w:val="24"/>
          <w:szCs w:val="24"/>
          <w:lang w:val="en-US" w:eastAsia="zh-CN"/>
        </w:rPr>
        <w:t>投标文件中提供的资料（扫描件），内容必须清晰可辨，若内容模糊，无法辨识，均视为未提供。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w:t>
      </w:r>
      <w:r>
        <w:rPr>
          <w:rFonts w:hint="eastAsia" w:ascii="华文楷体" w:hAnsi="华文楷体" w:eastAsia="华文楷体" w:cs="华文楷体"/>
          <w:sz w:val="24"/>
          <w:szCs w:val="24"/>
          <w:lang w:val="en-US" w:eastAsia="zh-CN"/>
        </w:rPr>
        <w:t>8</w:t>
      </w:r>
      <w:r>
        <w:rPr>
          <w:rFonts w:hint="default" w:ascii="华文楷体" w:hAnsi="华文楷体" w:eastAsia="华文楷体" w:cs="华文楷体"/>
          <w:sz w:val="24"/>
          <w:szCs w:val="24"/>
          <w:lang w:val="en-US" w:eastAsia="zh-CN"/>
        </w:rPr>
        <w:t>投标文件中对招标文件商务条款及技术要求的应答出现完全或绝大部分复制招标文件要求的，视为未实质性响应招标文件的投标文件。</w:t>
      </w:r>
    </w:p>
    <w:p>
      <w:pPr>
        <w:pStyle w:val="3"/>
        <w:bidi w:val="0"/>
        <w:outlineLvl w:val="1"/>
        <w:rPr>
          <w:rFonts w:hint="eastAsia" w:ascii="华文楷体" w:hAnsi="华文楷体" w:eastAsia="华文楷体" w:cs="华文楷体"/>
          <w:b/>
          <w:sz w:val="24"/>
          <w:szCs w:val="24"/>
          <w:lang w:val="en-US" w:eastAsia="zh-CN"/>
        </w:rPr>
      </w:pPr>
      <w:bookmarkStart w:id="11" w:name="_Toc26485"/>
      <w:r>
        <w:rPr>
          <w:rFonts w:hint="eastAsia" w:ascii="华文楷体" w:hAnsi="华文楷体" w:eastAsia="华文楷体" w:cs="华文楷体"/>
          <w:b/>
          <w:sz w:val="24"/>
          <w:szCs w:val="24"/>
          <w:lang w:val="en-US" w:eastAsia="zh-CN"/>
        </w:rPr>
        <w:t>四、响应文件递交</w:t>
      </w:r>
      <w:bookmarkEnd w:id="11"/>
    </w:p>
    <w:p>
      <w:pPr>
        <w:numPr>
          <w:ilvl w:val="0"/>
          <w:numId w:val="0"/>
        </w:numPr>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现场谈判时同时提交响应文件。</w:t>
      </w:r>
    </w:p>
    <w:p>
      <w:pPr>
        <w:pStyle w:val="3"/>
        <w:bidi w:val="0"/>
        <w:outlineLvl w:val="1"/>
        <w:rPr>
          <w:rFonts w:hint="default" w:ascii="华文楷体" w:hAnsi="华文楷体" w:eastAsia="华文楷体" w:cs="华文楷体"/>
          <w:b/>
          <w:sz w:val="24"/>
          <w:szCs w:val="24"/>
          <w:lang w:val="en-US" w:eastAsia="zh-CN"/>
        </w:rPr>
      </w:pPr>
      <w:bookmarkStart w:id="12" w:name="_Toc12564"/>
      <w:r>
        <w:rPr>
          <w:rFonts w:hint="eastAsia" w:ascii="华文楷体" w:hAnsi="华文楷体" w:eastAsia="华文楷体" w:cs="华文楷体"/>
          <w:b/>
          <w:sz w:val="24"/>
          <w:szCs w:val="24"/>
          <w:lang w:val="en-US" w:eastAsia="zh-CN"/>
        </w:rPr>
        <w:t>五、开标与评标</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Fonts w:hint="eastAsia" w:ascii="华文楷体" w:hAnsi="华文楷体" w:eastAsia="华文楷体" w:cs="华文楷体"/>
          <w:sz w:val="24"/>
          <w:szCs w:val="24"/>
          <w:lang w:val="en-US" w:eastAsia="zh-CN"/>
        </w:rPr>
      </w:pPr>
      <w:bookmarkStart w:id="13" w:name="_Toc22863"/>
      <w:r>
        <w:rPr>
          <w:rFonts w:hint="eastAsia" w:ascii="华文楷体" w:hAnsi="华文楷体" w:eastAsia="华文楷体" w:cs="华文楷体"/>
          <w:sz w:val="24"/>
          <w:szCs w:val="24"/>
          <w:lang w:val="en-US" w:eastAsia="zh-CN"/>
        </w:rPr>
        <w:t>1.评审专家组</w:t>
      </w:r>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院内3人及以上专家组成。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Fonts w:hint="eastAsia" w:ascii="华文楷体" w:hAnsi="华文楷体" w:eastAsia="华文楷体" w:cs="华文楷体"/>
          <w:sz w:val="24"/>
          <w:szCs w:val="24"/>
          <w:lang w:val="en-US" w:eastAsia="zh-CN"/>
        </w:rPr>
      </w:pPr>
      <w:bookmarkStart w:id="14" w:name="_Toc11273"/>
      <w:r>
        <w:rPr>
          <w:rFonts w:hint="eastAsia" w:ascii="华文楷体" w:hAnsi="华文楷体" w:eastAsia="华文楷体" w:cs="华文楷体"/>
          <w:sz w:val="24"/>
          <w:szCs w:val="24"/>
          <w:lang w:val="en-US" w:eastAsia="zh-CN"/>
        </w:rPr>
        <w:t>2.评标方法</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综合评分法。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w:t>
      </w:r>
      <w:r>
        <w:rPr>
          <w:rFonts w:hint="eastAsia" w:ascii="华文楷体" w:hAnsi="华文楷体" w:eastAsia="华文楷体" w:cs="华文楷体"/>
          <w:sz w:val="24"/>
          <w:szCs w:val="24"/>
          <w:lang w:val="en-US" w:eastAsia="zh-CN"/>
        </w:rPr>
        <w:t>3.</w:t>
      </w:r>
      <w:r>
        <w:rPr>
          <w:rFonts w:hint="default" w:ascii="华文楷体" w:hAnsi="华文楷体" w:eastAsia="华文楷体" w:cs="华文楷体"/>
          <w:sz w:val="24"/>
          <w:szCs w:val="24"/>
          <w:lang w:val="en-US" w:eastAsia="zh-CN"/>
        </w:rPr>
        <w:t>有下列情形之一的，视为投标人串通投标，其投标无效：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（一）不同投标人的投标文件由同一单位或者个人编制；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（二）不同投标人委托同一单位或者个人办理投标事宜；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（三）不同投标人的投标文件载明的项目管理成员或者联系人员为同一人；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（四）不同投标人的投标文件异常一致或者投标报价呈规律性差异；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（五）不同投标人的投标文件相互混装；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b/>
          <w:bCs/>
          <w:sz w:val="24"/>
          <w:szCs w:val="24"/>
          <w:highlight w:val="yellow"/>
          <w:lang w:val="en-US" w:eastAsia="zh-CN"/>
        </w:rPr>
      </w:pPr>
      <w:r>
        <w:rPr>
          <w:rFonts w:hint="eastAsia" w:ascii="华文楷体" w:hAnsi="华文楷体" w:eastAsia="华文楷体" w:cs="华文楷体"/>
          <w:b/>
          <w:bCs/>
          <w:sz w:val="24"/>
          <w:szCs w:val="24"/>
          <w:highlight w:val="yellow"/>
          <w:lang w:val="en-US" w:eastAsia="zh-CN"/>
        </w:rPr>
        <w:t>4.</w:t>
      </w:r>
      <w:r>
        <w:rPr>
          <w:rFonts w:hint="default" w:ascii="华文楷体" w:hAnsi="华文楷体" w:eastAsia="华文楷体" w:cs="华文楷体"/>
          <w:b/>
          <w:bCs/>
          <w:sz w:val="24"/>
          <w:szCs w:val="24"/>
          <w:highlight w:val="yellow"/>
          <w:lang w:val="en-US" w:eastAsia="zh-CN"/>
        </w:rPr>
        <w:t>提供相同品牌产品且通过资格审查、符合性审查的不同投标人参加同一招标项目包投标的，按一家投标人计算，评审后得分最高的同品牌投标人获得中标人推荐资格；评审得分相同的，评标委员会将依次按价格部分得分高优先、技术部分得分高优先、商务部分得分高优先的顺序确定；所有得分均相等的，主要技术指标高优先、质保期长优先、交货时间短优先、故障到达时间短优先的顺序确定一个投标人获得中标人推荐资格，其他同品牌投标人不作为中标候选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b/>
          <w:bCs/>
          <w:sz w:val="24"/>
          <w:szCs w:val="24"/>
          <w:highlight w:val="yellow"/>
          <w:lang w:val="en-US" w:eastAsia="zh-CN"/>
        </w:rPr>
      </w:pPr>
      <w:r>
        <w:rPr>
          <w:rFonts w:hint="eastAsia" w:ascii="华文楷体" w:hAnsi="华文楷体" w:eastAsia="华文楷体" w:cs="华文楷体"/>
          <w:b/>
          <w:bCs/>
          <w:sz w:val="24"/>
          <w:szCs w:val="24"/>
          <w:highlight w:val="yellow"/>
          <w:lang w:val="en-US" w:eastAsia="zh-CN"/>
        </w:rPr>
        <w:t>5.</w:t>
      </w:r>
      <w:r>
        <w:rPr>
          <w:rFonts w:hint="default" w:ascii="华文楷体" w:hAnsi="华文楷体" w:eastAsia="华文楷体" w:cs="华文楷体"/>
          <w:b/>
          <w:bCs/>
          <w:sz w:val="24"/>
          <w:szCs w:val="24"/>
          <w:highlight w:val="yellow"/>
          <w:lang w:val="en-US" w:eastAsia="zh-CN"/>
        </w:rPr>
        <w:t>若单个项目包为非单一产品采购项目，对于</w:t>
      </w:r>
      <w:r>
        <w:rPr>
          <w:rFonts w:hint="eastAsia" w:ascii="华文楷体" w:hAnsi="华文楷体" w:eastAsia="华文楷体" w:cs="华文楷体"/>
          <w:b/>
          <w:bCs/>
          <w:sz w:val="24"/>
          <w:szCs w:val="24"/>
          <w:highlight w:val="yellow"/>
          <w:lang w:val="en-US" w:eastAsia="zh-CN"/>
        </w:rPr>
        <w:t>技术参数</w:t>
      </w:r>
      <w:r>
        <w:rPr>
          <w:rFonts w:hint="default" w:ascii="华文楷体" w:hAnsi="华文楷体" w:eastAsia="华文楷体" w:cs="华文楷体"/>
          <w:b/>
          <w:bCs/>
          <w:sz w:val="24"/>
          <w:szCs w:val="24"/>
          <w:highlight w:val="yellow"/>
          <w:lang w:val="en-US" w:eastAsia="zh-CN"/>
        </w:rPr>
        <w:t>规定核心产品，多家投标人提供的核心产品品牌有一项品牌相同的，按</w:t>
      </w:r>
      <w:r>
        <w:rPr>
          <w:rFonts w:hint="eastAsia" w:ascii="华文楷体" w:hAnsi="华文楷体" w:eastAsia="华文楷体" w:cs="华文楷体"/>
          <w:b/>
          <w:bCs/>
          <w:sz w:val="24"/>
          <w:szCs w:val="24"/>
          <w:highlight w:val="yellow"/>
          <w:lang w:val="en-US" w:eastAsia="zh-CN"/>
        </w:rPr>
        <w:t>4</w:t>
      </w:r>
      <w:r>
        <w:rPr>
          <w:rFonts w:hint="default" w:ascii="华文楷体" w:hAnsi="华文楷体" w:eastAsia="华文楷体" w:cs="华文楷体"/>
          <w:b/>
          <w:bCs/>
          <w:sz w:val="24"/>
          <w:szCs w:val="24"/>
          <w:highlight w:val="yellow"/>
          <w:lang w:val="en-US" w:eastAsia="zh-CN"/>
        </w:rPr>
        <w:t>款规定处理。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6.</w:t>
      </w:r>
      <w:r>
        <w:rPr>
          <w:rFonts w:hint="default" w:ascii="华文楷体" w:hAnsi="华文楷体" w:eastAsia="华文楷体" w:cs="华文楷体"/>
          <w:sz w:val="24"/>
          <w:szCs w:val="24"/>
          <w:lang w:val="en-US" w:eastAsia="zh-CN"/>
        </w:rPr>
        <w:t>在招标采购中，出现下列情形之一的，应予废标：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(1)符合专业条件的投标人或者对招标文件作实质响应的投标人不足3家的</w:t>
      </w:r>
      <w:r>
        <w:rPr>
          <w:rFonts w:hint="eastAsia" w:ascii="华文楷体" w:hAnsi="华文楷体" w:eastAsia="华文楷体" w:cs="华文楷体"/>
          <w:sz w:val="24"/>
          <w:szCs w:val="24"/>
          <w:lang w:val="en-US" w:eastAsia="zh-CN"/>
        </w:rPr>
        <w:t>（非二次公示）</w:t>
      </w:r>
      <w:r>
        <w:rPr>
          <w:rFonts w:hint="default" w:ascii="华文楷体" w:hAnsi="华文楷体" w:eastAsia="华文楷体" w:cs="华文楷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(2)出现影响采购公正的违法、违规行为的；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(3)投标人的报价均超过了采购预算，采购人不能支付的；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(4)因重大变故，采购任务取消的。</w:t>
      </w:r>
    </w:p>
    <w:p>
      <w:pPr>
        <w:pStyle w:val="3"/>
        <w:bidi w:val="0"/>
        <w:outlineLvl w:val="1"/>
        <w:rPr>
          <w:rFonts w:hint="default" w:ascii="华文楷体" w:hAnsi="华文楷体" w:eastAsia="华文楷体" w:cs="华文楷体"/>
          <w:b/>
          <w:sz w:val="24"/>
          <w:szCs w:val="24"/>
          <w:lang w:val="en-US" w:eastAsia="zh-CN"/>
        </w:rPr>
      </w:pPr>
      <w:bookmarkStart w:id="15" w:name="_Toc393"/>
      <w:r>
        <w:rPr>
          <w:rFonts w:hint="eastAsia" w:ascii="华文楷体" w:hAnsi="华文楷体" w:eastAsia="华文楷体" w:cs="华文楷体"/>
          <w:b/>
          <w:sz w:val="24"/>
          <w:szCs w:val="24"/>
          <w:lang w:val="en-US" w:eastAsia="zh-CN"/>
        </w:rPr>
        <w:t>六、中标结果</w:t>
      </w:r>
      <w:bookmarkEnd w:id="15"/>
    </w:p>
    <w:p>
      <w:pPr>
        <w:numPr>
          <w:ilvl w:val="0"/>
          <w:numId w:val="0"/>
        </w:numPr>
        <w:rPr>
          <w:rFonts w:hint="default" w:ascii="华文楷体" w:hAnsi="华文楷体" w:eastAsia="华文楷体" w:cs="华文楷体"/>
          <w:sz w:val="24"/>
          <w:szCs w:val="24"/>
          <w:lang w:val="en-US" w:eastAsia="zh-CN"/>
        </w:rPr>
      </w:pPr>
      <w:r>
        <w:rPr>
          <w:rFonts w:hint="eastAsia" w:ascii="华文楷体" w:hAnsi="华文楷体" w:eastAsia="华文楷体" w:cs="华文楷体"/>
          <w:sz w:val="24"/>
          <w:szCs w:val="24"/>
          <w:lang w:val="en-US" w:eastAsia="zh-CN"/>
        </w:rPr>
        <w:t>中标结果公示地点为昆明医科大学第二附属医院</w:t>
      </w:r>
      <w:r>
        <w:rPr>
          <w:rFonts w:hint="eastAsia" w:ascii="华文楷体" w:hAnsi="华文楷体" w:eastAsia="华文楷体" w:cs="华文楷体"/>
          <w:b/>
          <w:bCs/>
          <w:sz w:val="24"/>
          <w:szCs w:val="24"/>
          <w:highlight w:val="yellow"/>
          <w:lang w:val="en-US" w:eastAsia="zh-CN"/>
        </w:rPr>
        <w:t>资产管理处公示栏</w:t>
      </w:r>
      <w:r>
        <w:rPr>
          <w:rFonts w:hint="eastAsia" w:ascii="华文楷体" w:hAnsi="华文楷体" w:eastAsia="华文楷体" w:cs="华文楷体"/>
          <w:b/>
          <w:bCs/>
          <w:sz w:val="24"/>
          <w:szCs w:val="24"/>
          <w:lang w:val="en-US" w:eastAsia="zh-CN"/>
        </w:rPr>
        <w:t>。</w:t>
      </w:r>
    </w:p>
    <w:p>
      <w:pPr>
        <w:pStyle w:val="2"/>
        <w:bidi w:val="0"/>
        <w:outlineLvl w:val="0"/>
        <w:rPr>
          <w:rFonts w:hint="default" w:ascii="方正楷体_GBK" w:hAnsi="方正楷体_GBK" w:eastAsia="方正楷体_GBK" w:cs="方正楷体_GBK"/>
          <w:sz w:val="28"/>
          <w:szCs w:val="22"/>
          <w:lang w:val="en-US" w:eastAsia="zh-CN"/>
        </w:rPr>
      </w:pPr>
      <w:bookmarkStart w:id="16" w:name="_Toc18478"/>
      <w:r>
        <w:rPr>
          <w:rFonts w:hint="default" w:ascii="方正楷体_GBK" w:hAnsi="方正楷体_GBK" w:eastAsia="方正楷体_GBK" w:cs="方正楷体_GBK"/>
          <w:sz w:val="28"/>
          <w:szCs w:val="22"/>
          <w:lang w:val="en-US" w:eastAsia="zh-CN"/>
        </w:rPr>
        <w:t>第三章 合同书样式及主要条款</w:t>
      </w:r>
      <w:bookmarkEnd w:id="16"/>
    </w:p>
    <w:p>
      <w:pPr>
        <w:numPr>
          <w:ilvl w:val="0"/>
          <w:numId w:val="0"/>
        </w:numPr>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合同格式以中标人与采购人最终协商确定的合同格式为准。</w:t>
      </w:r>
    </w:p>
    <w:p>
      <w:pPr>
        <w:pStyle w:val="2"/>
        <w:bidi w:val="0"/>
        <w:outlineLvl w:val="0"/>
        <w:rPr>
          <w:rFonts w:hint="default" w:ascii="方正楷体_GBK" w:hAnsi="方正楷体_GBK" w:eastAsia="方正楷体_GBK" w:cs="方正楷体_GBK"/>
          <w:sz w:val="28"/>
          <w:szCs w:val="22"/>
          <w:lang w:val="en-US" w:eastAsia="zh-CN"/>
        </w:rPr>
      </w:pPr>
      <w:bookmarkStart w:id="17" w:name="_Toc20031"/>
      <w:r>
        <w:rPr>
          <w:rFonts w:hint="default" w:ascii="方正楷体_GBK" w:hAnsi="方正楷体_GBK" w:eastAsia="方正楷体_GBK" w:cs="方正楷体_GBK"/>
          <w:sz w:val="28"/>
          <w:szCs w:val="22"/>
          <w:lang w:val="en-US" w:eastAsia="zh-CN"/>
        </w:rPr>
        <w:t>第四章  投标文件格式</w:t>
      </w:r>
      <w:r>
        <w:rPr>
          <w:rFonts w:hint="eastAsia" w:ascii="方正楷体_GBK" w:hAnsi="方正楷体_GBK" w:eastAsia="方正楷体_GBK" w:cs="方正楷体_GBK"/>
          <w:sz w:val="28"/>
          <w:szCs w:val="22"/>
          <w:lang w:val="en-US" w:eastAsia="zh-CN"/>
        </w:rPr>
        <w:t>（见附件）</w:t>
      </w:r>
      <w:bookmarkEnd w:id="17"/>
    </w:p>
    <w:p>
      <w:pPr>
        <w:pStyle w:val="2"/>
        <w:bidi w:val="0"/>
        <w:outlineLvl w:val="0"/>
        <w:rPr>
          <w:rFonts w:hint="eastAsia" w:ascii="方正楷体_GBK" w:hAnsi="方正楷体_GBK" w:eastAsia="方正楷体_GBK" w:cs="方正楷体_GBK"/>
          <w:sz w:val="28"/>
          <w:szCs w:val="22"/>
          <w:lang w:val="en-US" w:eastAsia="zh-CN"/>
        </w:rPr>
      </w:pPr>
      <w:bookmarkStart w:id="18" w:name="_Toc24507"/>
      <w:r>
        <w:rPr>
          <w:rFonts w:hint="default" w:ascii="方正楷体_GBK" w:hAnsi="方正楷体_GBK" w:eastAsia="方正楷体_GBK" w:cs="方正楷体_GBK"/>
          <w:sz w:val="28"/>
          <w:szCs w:val="22"/>
          <w:lang w:val="en-US" w:eastAsia="zh-CN"/>
        </w:rPr>
        <w:t>第五章  项目需求及技术要求</w:t>
      </w:r>
      <w:r>
        <w:rPr>
          <w:rFonts w:hint="eastAsia" w:ascii="方正楷体_GBK" w:hAnsi="方正楷体_GBK" w:eastAsia="方正楷体_GBK" w:cs="方正楷体_GBK"/>
          <w:sz w:val="28"/>
          <w:szCs w:val="22"/>
          <w:lang w:val="en-US" w:eastAsia="zh-CN"/>
        </w:rPr>
        <w:t>（见附件）</w:t>
      </w:r>
      <w:bookmarkEnd w:id="18"/>
    </w:p>
    <w:p>
      <w:pPr>
        <w:rPr>
          <w:rFonts w:hint="eastAsia"/>
          <w:b/>
          <w:sz w:val="28"/>
          <w:szCs w:val="22"/>
          <w:lang w:val="en-US" w:eastAsia="zh-CN"/>
        </w:rPr>
      </w:pPr>
    </w:p>
    <w:p>
      <w:pPr>
        <w:rPr>
          <w:rFonts w:hint="eastAsia"/>
          <w:b/>
          <w:sz w:val="28"/>
          <w:szCs w:val="22"/>
          <w:lang w:val="en-US" w:eastAsia="zh-CN"/>
        </w:rPr>
        <w:sectPr>
          <w:pgSz w:w="11906" w:h="16838"/>
          <w:pgMar w:top="1440" w:right="1800" w:bottom="1440" w:left="1800" w:header="851" w:footer="992" w:gutter="0"/>
          <w:cols w:space="425" w:num="1"/>
          <w:docGrid w:type="lines" w:linePitch="312" w:charSpace="0"/>
        </w:sectPr>
      </w:pPr>
    </w:p>
    <w:p>
      <w:pPr>
        <w:pStyle w:val="2"/>
        <w:bidi w:val="0"/>
        <w:outlineLvl w:val="0"/>
        <w:rPr>
          <w:rFonts w:hint="default" w:ascii="方正楷体_GBK" w:hAnsi="方正楷体_GBK" w:eastAsia="方正楷体_GBK" w:cs="方正楷体_GBK"/>
          <w:sz w:val="28"/>
          <w:szCs w:val="22"/>
          <w:lang w:val="en-US" w:eastAsia="zh-CN"/>
        </w:rPr>
      </w:pPr>
      <w:bookmarkStart w:id="19" w:name="_Toc27438"/>
      <w:r>
        <w:rPr>
          <w:rFonts w:hint="eastAsia" w:ascii="方正楷体_GBK" w:hAnsi="方正楷体_GBK" w:eastAsia="方正楷体_GBK" w:cs="方正楷体_GBK"/>
          <w:sz w:val="28"/>
          <w:szCs w:val="22"/>
          <w:lang w:val="en-US" w:eastAsia="zh-CN"/>
        </w:rPr>
        <w:t>第六章  资格评审标准</w:t>
      </w:r>
      <w:bookmarkEnd w:id="1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sz w:val="24"/>
          <w:szCs w:val="24"/>
          <w:lang w:val="en-US" w:eastAsia="zh-CN"/>
        </w:rPr>
      </w:pPr>
      <w:r>
        <w:rPr>
          <w:rFonts w:hint="default" w:ascii="华文楷体" w:hAnsi="华文楷体" w:eastAsia="华文楷体" w:cs="华文楷体"/>
          <w:sz w:val="24"/>
          <w:szCs w:val="24"/>
          <w:lang w:val="en-US" w:eastAsia="zh-CN"/>
        </w:rPr>
        <w:t>投标文件出现不满足下列各项评审内容及标准要求之一的，则资格评审为不合格。合格投标人不足3家的，不得评标</w:t>
      </w:r>
      <w:r>
        <w:rPr>
          <w:rFonts w:hint="eastAsia" w:ascii="华文楷体" w:hAnsi="华文楷体" w:eastAsia="华文楷体" w:cs="华文楷体"/>
          <w:sz w:val="24"/>
          <w:szCs w:val="24"/>
          <w:lang w:val="en-US" w:eastAsia="zh-CN"/>
        </w:rPr>
        <w:t>（非二次公示）</w:t>
      </w:r>
      <w:r>
        <w:rPr>
          <w:rFonts w:hint="default" w:ascii="华文楷体" w:hAnsi="华文楷体" w:eastAsia="华文楷体" w:cs="华文楷体"/>
          <w:sz w:val="24"/>
          <w:szCs w:val="24"/>
          <w:lang w:val="en-US" w:eastAsia="zh-CN"/>
        </w:rPr>
        <w:t>。下列各项评审内容及标准均为招标文件的实质性要求，投标文件响应各款所列材料在开标后不得澄清、后补。</w:t>
      </w:r>
    </w:p>
    <w:tbl>
      <w:tblPr>
        <w:tblStyle w:val="8"/>
        <w:tblW w:w="10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81"/>
        <w:gridCol w:w="8737"/>
        <w:gridCol w:w="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533" w:hRule="atLeast"/>
          <w:tblHeader/>
          <w:jc w:val="center"/>
        </w:trPr>
        <w:tc>
          <w:tcPr>
            <w:tcW w:w="1276" w:type="dxa"/>
            <w:vAlign w:val="center"/>
          </w:tcPr>
          <w:p>
            <w:pPr>
              <w:spacing w:before="100" w:beforeAutospacing="1" w:after="100" w:afterAutospacing="1" w:line="360" w:lineRule="auto"/>
              <w:jc w:val="center"/>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评审程序</w:t>
            </w:r>
          </w:p>
        </w:tc>
        <w:tc>
          <w:tcPr>
            <w:tcW w:w="9518" w:type="dxa"/>
            <w:gridSpan w:val="2"/>
            <w:vAlign w:val="center"/>
          </w:tcPr>
          <w:p>
            <w:pPr>
              <w:spacing w:before="100" w:beforeAutospacing="1" w:after="100" w:afterAutospacing="1" w:line="360" w:lineRule="auto"/>
              <w:jc w:val="center"/>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533" w:hRule="atLeast"/>
          <w:tblHeader/>
          <w:jc w:val="center"/>
        </w:trPr>
        <w:tc>
          <w:tcPr>
            <w:tcW w:w="1276" w:type="dxa"/>
            <w:vMerge w:val="restart"/>
            <w:vAlign w:val="center"/>
          </w:tcPr>
          <w:p>
            <w:pPr>
              <w:spacing w:before="100" w:beforeAutospacing="1" w:after="100" w:afterAutospacing="1" w:line="360" w:lineRule="auto"/>
              <w:jc w:val="center"/>
              <w:rPr>
                <w:rFonts w:hint="eastAsia" w:ascii="华文楷体" w:hAnsi="华文楷体" w:eastAsia="华文楷体" w:cs="华文楷体"/>
                <w:b/>
                <w:sz w:val="24"/>
                <w:szCs w:val="24"/>
              </w:rPr>
            </w:pPr>
            <w:r>
              <w:rPr>
                <w:rFonts w:hint="eastAsia" w:ascii="华文楷体" w:hAnsi="华文楷体" w:eastAsia="华文楷体" w:cs="华文楷体"/>
                <w:sz w:val="24"/>
                <w:szCs w:val="24"/>
              </w:rPr>
              <w:t>资格评审标准</w:t>
            </w:r>
          </w:p>
        </w:tc>
        <w:tc>
          <w:tcPr>
            <w:tcW w:w="781" w:type="dxa"/>
            <w:vAlign w:val="center"/>
          </w:tcPr>
          <w:p>
            <w:pPr>
              <w:spacing w:before="100" w:beforeAutospacing="1" w:after="100" w:afterAutospacing="1" w:line="360" w:lineRule="auto"/>
              <w:jc w:val="center"/>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1</w:t>
            </w:r>
          </w:p>
        </w:tc>
        <w:tc>
          <w:tcPr>
            <w:tcW w:w="8737" w:type="dxa"/>
            <w:vAlign w:val="center"/>
          </w:tcPr>
          <w:p>
            <w:pPr>
              <w:spacing w:before="100" w:beforeAutospacing="1" w:after="100" w:afterAutospacing="1" w:line="360" w:lineRule="auto"/>
              <w:jc w:val="lef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投标人应具备《中华人民共和国政府采购法》第二十二条规定的条件，并提供下列材料：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662" w:hRule="atLeast"/>
          <w:jc w:val="center"/>
        </w:trPr>
        <w:tc>
          <w:tcPr>
            <w:tcW w:w="1276" w:type="dxa"/>
            <w:vMerge w:val="continue"/>
            <w:vAlign w:val="center"/>
          </w:tcPr>
          <w:p>
            <w:pPr>
              <w:spacing w:before="100" w:beforeAutospacing="1" w:after="100" w:afterAutospacing="1" w:line="360" w:lineRule="auto"/>
              <w:jc w:val="center"/>
              <w:rPr>
                <w:rFonts w:hint="eastAsia" w:ascii="华文楷体" w:hAnsi="华文楷体" w:eastAsia="华文楷体" w:cs="华文楷体"/>
                <w:sz w:val="24"/>
                <w:szCs w:val="24"/>
              </w:rPr>
            </w:pPr>
          </w:p>
        </w:tc>
        <w:tc>
          <w:tcPr>
            <w:tcW w:w="781" w:type="dxa"/>
            <w:vAlign w:val="center"/>
          </w:tcPr>
          <w:p>
            <w:pPr>
              <w:spacing w:before="100" w:beforeAutospacing="1" w:after="100" w:afterAutospacing="1"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1.1</w:t>
            </w:r>
          </w:p>
        </w:tc>
        <w:tc>
          <w:tcPr>
            <w:tcW w:w="8737" w:type="dxa"/>
            <w:vAlign w:val="center"/>
          </w:tcPr>
          <w:p>
            <w:pPr>
              <w:spacing w:before="100" w:beforeAutospacing="1" w:after="100" w:afterAutospacing="1" w:line="360" w:lineRule="auto"/>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投标人必须具备独立承担民事责任的能力，提供法人或者其他组织的营业执照等证明文件；投标人是自然人的，提供自然人身份证明（扫描件加盖电子公章）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662" w:hRule="atLeast"/>
          <w:jc w:val="center"/>
        </w:trPr>
        <w:tc>
          <w:tcPr>
            <w:tcW w:w="1276" w:type="dxa"/>
            <w:vMerge w:val="continue"/>
            <w:vAlign w:val="center"/>
          </w:tcPr>
          <w:p>
            <w:pPr>
              <w:spacing w:before="100" w:beforeAutospacing="1" w:after="100" w:afterAutospacing="1" w:line="360" w:lineRule="auto"/>
              <w:jc w:val="center"/>
              <w:rPr>
                <w:rFonts w:hint="eastAsia" w:ascii="华文楷体" w:hAnsi="华文楷体" w:eastAsia="华文楷体" w:cs="华文楷体"/>
                <w:sz w:val="24"/>
                <w:szCs w:val="24"/>
              </w:rPr>
            </w:pPr>
          </w:p>
        </w:tc>
        <w:tc>
          <w:tcPr>
            <w:tcW w:w="781" w:type="dxa"/>
            <w:vAlign w:val="center"/>
          </w:tcPr>
          <w:p>
            <w:pPr>
              <w:spacing w:before="100" w:beforeAutospacing="1" w:after="100" w:afterAutospacing="1"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1.2</w:t>
            </w:r>
          </w:p>
        </w:tc>
        <w:tc>
          <w:tcPr>
            <w:tcW w:w="8737" w:type="dxa"/>
            <w:vAlign w:val="center"/>
          </w:tcPr>
          <w:p>
            <w:pPr>
              <w:spacing w:before="100" w:beforeAutospacing="1" w:after="100" w:afterAutospacing="1" w:line="360" w:lineRule="auto"/>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投标人须提供财务状况报告，内容可为以下</w:t>
            </w:r>
            <w:r>
              <w:rPr>
                <w:rFonts w:hint="eastAsia" w:ascii="华文楷体" w:hAnsi="华文楷体" w:eastAsia="华文楷体" w:cs="华文楷体"/>
                <w:sz w:val="24"/>
                <w:szCs w:val="24"/>
                <w:highlight w:val="yellow"/>
              </w:rPr>
              <w:t>三者之一</w:t>
            </w:r>
            <w:r>
              <w:rPr>
                <w:rFonts w:hint="eastAsia" w:ascii="华文楷体" w:hAnsi="华文楷体" w:eastAsia="华文楷体" w:cs="华文楷体"/>
                <w:sz w:val="24"/>
                <w:szCs w:val="24"/>
              </w:rPr>
              <w:t>：1）近三个月内基本开户银行出具的资信证明（扫描件加盖电子公章）2）201</w:t>
            </w:r>
            <w:r>
              <w:rPr>
                <w:rFonts w:hint="eastAsia" w:ascii="华文楷体" w:hAnsi="华文楷体" w:eastAsia="华文楷体" w:cs="华文楷体"/>
                <w:sz w:val="24"/>
                <w:szCs w:val="24"/>
                <w:lang w:val="en-US" w:eastAsia="zh-CN"/>
              </w:rPr>
              <w:t>9</w:t>
            </w:r>
            <w:r>
              <w:rPr>
                <w:rFonts w:hint="eastAsia" w:ascii="华文楷体" w:hAnsi="华文楷体" w:eastAsia="华文楷体" w:cs="华文楷体"/>
                <w:sz w:val="24"/>
                <w:szCs w:val="24"/>
              </w:rPr>
              <w:t>年-202</w:t>
            </w:r>
            <w:r>
              <w:rPr>
                <w:rFonts w:hint="eastAsia" w:ascii="华文楷体" w:hAnsi="华文楷体" w:eastAsia="华文楷体" w:cs="华文楷体"/>
                <w:sz w:val="24"/>
                <w:szCs w:val="24"/>
                <w:lang w:val="en-US" w:eastAsia="zh-CN"/>
              </w:rPr>
              <w:t>2</w:t>
            </w:r>
            <w:r>
              <w:rPr>
                <w:rFonts w:hint="eastAsia" w:ascii="华文楷体" w:hAnsi="华文楷体" w:eastAsia="华文楷体" w:cs="华文楷体"/>
                <w:sz w:val="24"/>
                <w:szCs w:val="24"/>
              </w:rPr>
              <w:t>年任意一年度经审计的财务审计报告，包括“四表一注”，即资产负债表、利润表、现金流量表、所有者权益变动表及其附注（扫描件加盖电子公章）；3）财政部门认可的政府采购专业担保机构出具的投标担保函，须同时提供专业担保机构经财政部门认可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662" w:hRule="atLeast"/>
          <w:jc w:val="center"/>
        </w:trPr>
        <w:tc>
          <w:tcPr>
            <w:tcW w:w="1276" w:type="dxa"/>
            <w:vMerge w:val="continue"/>
            <w:vAlign w:val="center"/>
          </w:tcPr>
          <w:p>
            <w:pPr>
              <w:spacing w:before="100" w:beforeAutospacing="1" w:after="100" w:afterAutospacing="1" w:line="360" w:lineRule="auto"/>
              <w:rPr>
                <w:rFonts w:hint="eastAsia" w:ascii="华文楷体" w:hAnsi="华文楷体" w:eastAsia="华文楷体" w:cs="华文楷体"/>
                <w:sz w:val="24"/>
                <w:szCs w:val="24"/>
              </w:rPr>
            </w:pPr>
          </w:p>
        </w:tc>
        <w:tc>
          <w:tcPr>
            <w:tcW w:w="781" w:type="dxa"/>
            <w:vAlign w:val="center"/>
          </w:tcPr>
          <w:p>
            <w:pPr>
              <w:spacing w:before="100" w:beforeAutospacing="1" w:after="100" w:afterAutospacing="1"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1.3</w:t>
            </w:r>
          </w:p>
        </w:tc>
        <w:tc>
          <w:tcPr>
            <w:tcW w:w="8737" w:type="dxa"/>
            <w:vAlign w:val="center"/>
          </w:tcPr>
          <w:p>
            <w:pPr>
              <w:spacing w:before="100" w:beforeAutospacing="1" w:after="100" w:afterAutospacing="1" w:line="360" w:lineRule="auto"/>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纳税证明材料的时间范围：缴税所属时间在202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年</w:t>
            </w:r>
            <w:r>
              <w:rPr>
                <w:rFonts w:hint="eastAsia" w:ascii="华文楷体" w:hAnsi="华文楷体" w:eastAsia="华文楷体" w:cs="华文楷体"/>
                <w:sz w:val="24"/>
                <w:szCs w:val="24"/>
                <w:u w:val="single"/>
              </w:rPr>
              <w:t>1</w:t>
            </w:r>
            <w:r>
              <w:rPr>
                <w:rFonts w:hint="eastAsia" w:ascii="华文楷体" w:hAnsi="华文楷体" w:eastAsia="华文楷体" w:cs="华文楷体"/>
                <w:sz w:val="24"/>
                <w:szCs w:val="24"/>
              </w:rPr>
              <w:t>月至投标截止日期前</w:t>
            </w:r>
            <w:r>
              <w:rPr>
                <w:rFonts w:hint="eastAsia" w:ascii="华文楷体" w:hAnsi="华文楷体" w:eastAsia="华文楷体" w:cs="华文楷体"/>
                <w:sz w:val="24"/>
                <w:szCs w:val="24"/>
                <w:highlight w:val="yellow"/>
              </w:rPr>
              <w:t>任意连续2个月</w:t>
            </w:r>
            <w:r>
              <w:rPr>
                <w:rFonts w:hint="eastAsia" w:ascii="华文楷体" w:hAnsi="华文楷体" w:eastAsia="华文楷体" w:cs="华文楷体"/>
                <w:sz w:val="24"/>
                <w:szCs w:val="24"/>
              </w:rPr>
              <w:t>的税务局税收通用缴款书扫描件或银行电子缴税（费）凭证扫描件或税务局出具纳税情况的相关证明扫描件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662" w:hRule="atLeast"/>
          <w:jc w:val="center"/>
        </w:trPr>
        <w:tc>
          <w:tcPr>
            <w:tcW w:w="1276" w:type="dxa"/>
            <w:vMerge w:val="continue"/>
            <w:vAlign w:val="center"/>
          </w:tcPr>
          <w:p>
            <w:pPr>
              <w:spacing w:before="100" w:beforeAutospacing="1" w:after="100" w:afterAutospacing="1" w:line="360" w:lineRule="auto"/>
              <w:rPr>
                <w:rFonts w:hint="eastAsia" w:ascii="华文楷体" w:hAnsi="华文楷体" w:eastAsia="华文楷体" w:cs="华文楷体"/>
                <w:sz w:val="24"/>
                <w:szCs w:val="24"/>
              </w:rPr>
            </w:pPr>
          </w:p>
        </w:tc>
        <w:tc>
          <w:tcPr>
            <w:tcW w:w="781" w:type="dxa"/>
            <w:vAlign w:val="center"/>
          </w:tcPr>
          <w:p>
            <w:pPr>
              <w:spacing w:before="100" w:beforeAutospacing="1" w:after="100" w:afterAutospacing="1"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1.4</w:t>
            </w:r>
          </w:p>
        </w:tc>
        <w:tc>
          <w:tcPr>
            <w:tcW w:w="8737" w:type="dxa"/>
            <w:vAlign w:val="center"/>
          </w:tcPr>
          <w:p>
            <w:pPr>
              <w:spacing w:before="100" w:beforeAutospacing="1" w:after="100" w:afterAutospacing="1" w:line="360" w:lineRule="auto"/>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缴纳社会保险证明材料的时间范围：缴费所属时间在202</w:t>
            </w:r>
            <w:r>
              <w:rPr>
                <w:rFonts w:hint="eastAsia" w:ascii="华文楷体" w:hAnsi="华文楷体" w:eastAsia="华文楷体" w:cs="华文楷体"/>
                <w:sz w:val="24"/>
                <w:szCs w:val="24"/>
                <w:lang w:val="en-US" w:eastAsia="zh-CN"/>
              </w:rPr>
              <w:t>1</w:t>
            </w:r>
            <w:r>
              <w:rPr>
                <w:rFonts w:hint="eastAsia" w:ascii="华文楷体" w:hAnsi="华文楷体" w:eastAsia="华文楷体" w:cs="华文楷体"/>
                <w:sz w:val="24"/>
                <w:szCs w:val="24"/>
              </w:rPr>
              <w:t>年</w:t>
            </w:r>
            <w:r>
              <w:rPr>
                <w:rFonts w:hint="eastAsia" w:ascii="华文楷体" w:hAnsi="华文楷体" w:eastAsia="华文楷体" w:cs="华文楷体"/>
                <w:sz w:val="24"/>
                <w:szCs w:val="24"/>
                <w:u w:val="single"/>
              </w:rPr>
              <w:t>1</w:t>
            </w:r>
            <w:r>
              <w:rPr>
                <w:rFonts w:hint="eastAsia" w:ascii="华文楷体" w:hAnsi="华文楷体" w:eastAsia="华文楷体" w:cs="华文楷体"/>
                <w:sz w:val="24"/>
                <w:szCs w:val="24"/>
              </w:rPr>
              <w:t>月至投标截止日期前</w:t>
            </w:r>
            <w:r>
              <w:rPr>
                <w:rFonts w:hint="eastAsia" w:ascii="华文楷体" w:hAnsi="华文楷体" w:eastAsia="华文楷体" w:cs="华文楷体"/>
                <w:sz w:val="24"/>
                <w:szCs w:val="24"/>
                <w:highlight w:val="yellow"/>
              </w:rPr>
              <w:t>任意连续2个月</w:t>
            </w:r>
            <w:r>
              <w:rPr>
                <w:rFonts w:hint="eastAsia" w:ascii="华文楷体" w:hAnsi="华文楷体" w:eastAsia="华文楷体" w:cs="华文楷体"/>
                <w:sz w:val="24"/>
                <w:szCs w:val="24"/>
              </w:rPr>
              <w:t>的社会保险费缴款书扫描件或银行电子缴税（费）凭证扫描件或社保管理部门出具的有效的缴款证明扫描件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354" w:hRule="atLeast"/>
          <w:jc w:val="center"/>
        </w:trPr>
        <w:tc>
          <w:tcPr>
            <w:tcW w:w="1276" w:type="dxa"/>
            <w:vMerge w:val="continue"/>
            <w:vAlign w:val="center"/>
          </w:tcPr>
          <w:p>
            <w:pPr>
              <w:spacing w:before="100" w:beforeAutospacing="1" w:after="100" w:afterAutospacing="1" w:line="360" w:lineRule="auto"/>
              <w:rPr>
                <w:rFonts w:hint="eastAsia" w:ascii="华文楷体" w:hAnsi="华文楷体" w:eastAsia="华文楷体" w:cs="华文楷体"/>
                <w:sz w:val="24"/>
                <w:szCs w:val="24"/>
              </w:rPr>
            </w:pPr>
          </w:p>
        </w:tc>
        <w:tc>
          <w:tcPr>
            <w:tcW w:w="781" w:type="dxa"/>
            <w:vAlign w:val="center"/>
          </w:tcPr>
          <w:p>
            <w:pPr>
              <w:spacing w:before="100" w:beforeAutospacing="1" w:after="100" w:afterAutospacing="1"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1.5</w:t>
            </w:r>
          </w:p>
        </w:tc>
        <w:tc>
          <w:tcPr>
            <w:tcW w:w="8737" w:type="dxa"/>
            <w:vAlign w:val="center"/>
          </w:tcPr>
          <w:p>
            <w:pPr>
              <w:spacing w:before="100" w:beforeAutospacing="1" w:after="100" w:afterAutospacing="1" w:line="360" w:lineRule="auto"/>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投标人须提供具备履行合同所必需的设备和专业技术能力的证明材料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662" w:hRule="atLeast"/>
          <w:jc w:val="center"/>
        </w:trPr>
        <w:tc>
          <w:tcPr>
            <w:tcW w:w="1276" w:type="dxa"/>
            <w:vMerge w:val="continue"/>
            <w:vAlign w:val="center"/>
          </w:tcPr>
          <w:p>
            <w:pPr>
              <w:spacing w:before="100" w:beforeAutospacing="1" w:after="100" w:afterAutospacing="1" w:line="360" w:lineRule="auto"/>
              <w:rPr>
                <w:rFonts w:hint="eastAsia" w:ascii="华文楷体" w:hAnsi="华文楷体" w:eastAsia="华文楷体" w:cs="华文楷体"/>
                <w:sz w:val="24"/>
                <w:szCs w:val="24"/>
              </w:rPr>
            </w:pPr>
          </w:p>
        </w:tc>
        <w:tc>
          <w:tcPr>
            <w:tcW w:w="781" w:type="dxa"/>
            <w:vAlign w:val="center"/>
          </w:tcPr>
          <w:p>
            <w:pPr>
              <w:spacing w:before="100" w:beforeAutospacing="1" w:after="100" w:afterAutospacing="1"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1.6</w:t>
            </w:r>
          </w:p>
        </w:tc>
        <w:tc>
          <w:tcPr>
            <w:tcW w:w="8737" w:type="dxa"/>
            <w:vAlign w:val="center"/>
          </w:tcPr>
          <w:p>
            <w:pPr>
              <w:spacing w:before="100" w:beforeAutospacing="1" w:after="100" w:afterAutospacing="1" w:line="360" w:lineRule="auto"/>
              <w:jc w:val="left"/>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投标人必须提供参加政府采购活动前3年内在经营活动中没有重大违法记录的书面声明（重大违法记录，是指供应商因违法经营受到刑事处罚或者责令停产停业、吊销许可证或者执照、较大数额罚款等行政处罚）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1276" w:type="dxa"/>
            <w:vAlign w:val="center"/>
          </w:tcPr>
          <w:p>
            <w:pPr>
              <w:spacing w:before="100" w:beforeAutospacing="1" w:after="100" w:afterAutospacing="1" w:line="360" w:lineRule="auto"/>
              <w:jc w:val="center"/>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评审程序</w:t>
            </w:r>
          </w:p>
        </w:tc>
        <w:tc>
          <w:tcPr>
            <w:tcW w:w="9614" w:type="dxa"/>
            <w:gridSpan w:val="3"/>
            <w:vAlign w:val="center"/>
          </w:tcPr>
          <w:p>
            <w:pPr>
              <w:spacing w:before="100" w:beforeAutospacing="1" w:after="100" w:afterAutospacing="1" w:line="360" w:lineRule="auto"/>
              <w:jc w:val="center"/>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76" w:type="dxa"/>
            <w:vMerge w:val="restart"/>
            <w:vAlign w:val="center"/>
          </w:tcPr>
          <w:p>
            <w:pPr>
              <w:spacing w:before="100" w:beforeAutospacing="1" w:after="100" w:afterAutospacing="1" w:line="360" w:lineRule="auto"/>
              <w:rPr>
                <w:rFonts w:hint="eastAsia" w:ascii="华文楷体" w:hAnsi="华文楷体" w:eastAsia="华文楷体" w:cs="华文楷体"/>
                <w:sz w:val="24"/>
                <w:szCs w:val="24"/>
              </w:rPr>
            </w:pPr>
            <w:r>
              <w:rPr>
                <w:rFonts w:hint="eastAsia" w:ascii="华文楷体" w:hAnsi="华文楷体" w:eastAsia="华文楷体" w:cs="华文楷体"/>
                <w:sz w:val="24"/>
                <w:szCs w:val="24"/>
              </w:rPr>
              <w:t>资格评审标准</w:t>
            </w:r>
          </w:p>
        </w:tc>
        <w:tc>
          <w:tcPr>
            <w:tcW w:w="781" w:type="dxa"/>
            <w:vAlign w:val="center"/>
          </w:tcPr>
          <w:p>
            <w:pPr>
              <w:spacing w:before="100" w:beforeAutospacing="1" w:after="100" w:afterAutospacing="1" w:line="360" w:lineRule="auto"/>
              <w:jc w:val="center"/>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2</w:t>
            </w:r>
          </w:p>
        </w:tc>
        <w:tc>
          <w:tcPr>
            <w:tcW w:w="8833" w:type="dxa"/>
            <w:gridSpan w:val="2"/>
            <w:vAlign w:val="center"/>
          </w:tcPr>
          <w:p>
            <w:pPr>
              <w:spacing w:before="100" w:beforeAutospacing="1" w:after="100" w:afterAutospacing="1" w:line="360" w:lineRule="auto"/>
              <w:jc w:val="lef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投标人应符合采购人根据采购项目的特殊要求规定的特定条件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76" w:type="dxa"/>
            <w:vMerge w:val="continue"/>
            <w:vAlign w:val="center"/>
          </w:tcPr>
          <w:p>
            <w:pPr>
              <w:spacing w:before="100" w:beforeAutospacing="1" w:after="100" w:afterAutospacing="1" w:line="360" w:lineRule="auto"/>
              <w:rPr>
                <w:rFonts w:hint="eastAsia" w:ascii="华文楷体" w:hAnsi="华文楷体" w:eastAsia="华文楷体" w:cs="华文楷体"/>
                <w:sz w:val="24"/>
                <w:szCs w:val="24"/>
              </w:rPr>
            </w:pPr>
          </w:p>
        </w:tc>
        <w:tc>
          <w:tcPr>
            <w:tcW w:w="781" w:type="dxa"/>
            <w:vAlign w:val="center"/>
          </w:tcPr>
          <w:p>
            <w:pPr>
              <w:spacing w:before="100" w:beforeAutospacing="1" w:after="100" w:afterAutospacing="1"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2.1</w:t>
            </w:r>
          </w:p>
        </w:tc>
        <w:tc>
          <w:tcPr>
            <w:tcW w:w="8833" w:type="dxa"/>
            <w:gridSpan w:val="2"/>
            <w:vAlign w:val="center"/>
          </w:tcPr>
          <w:p>
            <w:pPr>
              <w:spacing w:before="100" w:beforeAutospacing="1" w:after="100" w:afterAutospacing="1" w:line="360" w:lineRule="auto"/>
              <w:jc w:val="left"/>
              <w:rPr>
                <w:rFonts w:hint="eastAsia" w:ascii="华文楷体" w:hAnsi="华文楷体" w:eastAsia="华文楷体" w:cs="华文楷体"/>
                <w:sz w:val="24"/>
                <w:szCs w:val="24"/>
              </w:rPr>
            </w:pPr>
            <w:r>
              <w:rPr>
                <w:rFonts w:hint="eastAsia" w:ascii="华文楷体" w:hAnsi="华文楷体" w:eastAsia="华文楷体" w:cs="华文楷体"/>
                <w:kern w:val="0"/>
                <w:sz w:val="24"/>
                <w:szCs w:val="24"/>
              </w:rPr>
              <w:t>投标人如果是代理商或经销商，须提供医疗器械经营许可证/备案，所投产品制造商医疗器械生产许可证（制造商工商注册地在中华人民共和国境外的，不做此要求）、所投产品的医疗器械注册证及附件；投标人如果是制造商，须提供医疗器械生产许可证（制造商工商注册地在中华人民共和国境外的，不做此要求）、所投产品的医疗器械注册证及附件。医疗器械生产或经营许可证生产或经营范围须覆盖所投第二、三类医疗器械（扫描件加盖电子公章。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76" w:type="dxa"/>
            <w:vMerge w:val="continue"/>
            <w:vAlign w:val="center"/>
          </w:tcPr>
          <w:p>
            <w:pPr>
              <w:spacing w:before="100" w:beforeAutospacing="1" w:after="100" w:afterAutospacing="1" w:line="360" w:lineRule="auto"/>
              <w:rPr>
                <w:rFonts w:hint="eastAsia" w:ascii="华文楷体" w:hAnsi="华文楷体" w:eastAsia="华文楷体" w:cs="华文楷体"/>
                <w:sz w:val="24"/>
                <w:szCs w:val="24"/>
              </w:rPr>
            </w:pPr>
          </w:p>
        </w:tc>
        <w:tc>
          <w:tcPr>
            <w:tcW w:w="781" w:type="dxa"/>
            <w:vAlign w:val="center"/>
          </w:tcPr>
          <w:p>
            <w:pPr>
              <w:spacing w:before="100" w:beforeAutospacing="1" w:after="100" w:afterAutospacing="1"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2.2</w:t>
            </w:r>
          </w:p>
        </w:tc>
        <w:tc>
          <w:tcPr>
            <w:tcW w:w="8833" w:type="dxa"/>
            <w:gridSpan w:val="2"/>
            <w:vAlign w:val="center"/>
          </w:tcPr>
          <w:p>
            <w:pPr>
              <w:spacing w:before="100" w:beforeAutospacing="1" w:after="100" w:afterAutospacing="1" w:line="360" w:lineRule="auto"/>
              <w:jc w:val="left"/>
              <w:rPr>
                <w:rFonts w:hint="eastAsia" w:ascii="华文楷体" w:hAnsi="华文楷体" w:eastAsia="华文楷体" w:cs="华文楷体"/>
                <w:sz w:val="24"/>
                <w:szCs w:val="24"/>
              </w:rPr>
            </w:pPr>
            <w:r>
              <w:rPr>
                <w:rFonts w:hint="eastAsia" w:ascii="华文楷体" w:hAnsi="华文楷体" w:eastAsia="华文楷体" w:cs="华文楷体"/>
                <w:kern w:val="0"/>
                <w:sz w:val="24"/>
                <w:szCs w:val="24"/>
              </w:rPr>
              <w:t>投标人未被列入“信用中国”网站（www.creditchina.gov.cn）失信惩戒对象及中国政府采购网（www.ccgp.gov.cn）“政府采购严重违法失信行为信息记录”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76" w:type="dxa"/>
            <w:vMerge w:val="continue"/>
            <w:vAlign w:val="center"/>
          </w:tcPr>
          <w:p>
            <w:pPr>
              <w:spacing w:before="100" w:beforeAutospacing="1" w:after="100" w:afterAutospacing="1" w:line="360" w:lineRule="auto"/>
              <w:rPr>
                <w:rFonts w:hint="eastAsia" w:ascii="华文楷体" w:hAnsi="华文楷体" w:eastAsia="华文楷体" w:cs="华文楷体"/>
                <w:sz w:val="24"/>
                <w:szCs w:val="24"/>
              </w:rPr>
            </w:pPr>
          </w:p>
        </w:tc>
        <w:tc>
          <w:tcPr>
            <w:tcW w:w="781" w:type="dxa"/>
            <w:vAlign w:val="center"/>
          </w:tcPr>
          <w:p>
            <w:pPr>
              <w:spacing w:before="100" w:beforeAutospacing="1" w:after="100" w:afterAutospacing="1"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3</w:t>
            </w:r>
          </w:p>
        </w:tc>
        <w:tc>
          <w:tcPr>
            <w:tcW w:w="8833" w:type="dxa"/>
            <w:gridSpan w:val="2"/>
            <w:vAlign w:val="center"/>
          </w:tcPr>
          <w:p>
            <w:pPr>
              <w:spacing w:before="100" w:beforeAutospacing="1" w:after="100" w:afterAutospacing="1" w:line="360" w:lineRule="auto"/>
              <w:jc w:val="left"/>
              <w:rPr>
                <w:rFonts w:hint="eastAsia" w:ascii="华文楷体" w:hAnsi="华文楷体" w:eastAsia="华文楷体" w:cs="华文楷体"/>
                <w:sz w:val="24"/>
                <w:szCs w:val="24"/>
              </w:rPr>
            </w:pPr>
            <w:r>
              <w:rPr>
                <w:rFonts w:hint="eastAsia" w:ascii="华文楷体" w:hAnsi="华文楷体" w:eastAsia="华文楷体" w:cs="华文楷体"/>
                <w:kern w:val="0"/>
                <w:sz w:val="24"/>
                <w:szCs w:val="24"/>
              </w:rPr>
              <w:t>单位负责人为同一人或者存在直接控股、管理关系的不同投标人，不得参加同一招标项目包的政府采购活动。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76" w:type="dxa"/>
            <w:vMerge w:val="continue"/>
            <w:vAlign w:val="center"/>
          </w:tcPr>
          <w:p>
            <w:pPr>
              <w:spacing w:before="100" w:beforeAutospacing="1" w:after="100" w:afterAutospacing="1" w:line="360" w:lineRule="auto"/>
              <w:rPr>
                <w:rFonts w:hint="eastAsia" w:ascii="华文楷体" w:hAnsi="华文楷体" w:eastAsia="华文楷体" w:cs="华文楷体"/>
                <w:sz w:val="24"/>
                <w:szCs w:val="24"/>
              </w:rPr>
            </w:pPr>
          </w:p>
        </w:tc>
        <w:tc>
          <w:tcPr>
            <w:tcW w:w="781" w:type="dxa"/>
            <w:vAlign w:val="center"/>
          </w:tcPr>
          <w:p>
            <w:pPr>
              <w:spacing w:before="100" w:beforeAutospacing="1" w:after="100" w:afterAutospacing="1" w:line="360" w:lineRule="auto"/>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4</w:t>
            </w:r>
          </w:p>
        </w:tc>
        <w:tc>
          <w:tcPr>
            <w:tcW w:w="8833" w:type="dxa"/>
            <w:gridSpan w:val="2"/>
            <w:vAlign w:val="center"/>
          </w:tcPr>
          <w:p>
            <w:pPr>
              <w:spacing w:before="100" w:beforeAutospacing="1" w:after="100" w:afterAutospacing="1" w:line="360" w:lineRule="auto"/>
              <w:jc w:val="left"/>
              <w:rPr>
                <w:rFonts w:hint="eastAsia" w:ascii="华文楷体" w:hAnsi="华文楷体" w:eastAsia="华文楷体" w:cs="华文楷体"/>
                <w:sz w:val="24"/>
                <w:szCs w:val="24"/>
              </w:rPr>
            </w:pPr>
            <w:r>
              <w:rPr>
                <w:rFonts w:hint="eastAsia" w:ascii="华文楷体" w:hAnsi="华文楷体" w:eastAsia="华文楷体" w:cs="华文楷体"/>
                <w:kern w:val="0"/>
                <w:sz w:val="24"/>
                <w:szCs w:val="24"/>
              </w:rPr>
              <w:t>本次招标不接受联合体投标</w:t>
            </w:r>
          </w:p>
        </w:tc>
      </w:tr>
    </w:tbl>
    <w:p>
      <w:pPr>
        <w:numPr>
          <w:ilvl w:val="0"/>
          <w:numId w:val="0"/>
        </w:numPr>
        <w:rPr>
          <w:rFonts w:hint="eastAsia" w:ascii="华文楷体" w:hAnsi="华文楷体" w:eastAsia="华文楷体" w:cs="华文楷体"/>
          <w:b/>
          <w:bCs/>
          <w:sz w:val="32"/>
          <w:szCs w:val="32"/>
          <w:lang w:val="en-US" w:eastAsia="zh-CN"/>
        </w:rPr>
        <w:sectPr>
          <w:pgSz w:w="11906" w:h="16838"/>
          <w:pgMar w:top="930" w:right="1179" w:bottom="930" w:left="1179" w:header="851" w:footer="992" w:gutter="0"/>
          <w:cols w:space="425" w:num="1"/>
          <w:docGrid w:type="lines" w:linePitch="312" w:charSpace="0"/>
        </w:sectPr>
      </w:pPr>
    </w:p>
    <w:p>
      <w:pPr>
        <w:pStyle w:val="2"/>
        <w:bidi w:val="0"/>
        <w:outlineLvl w:val="0"/>
        <w:rPr>
          <w:rFonts w:hint="default" w:ascii="方正楷体_GBK" w:hAnsi="方正楷体_GBK" w:eastAsia="方正楷体_GBK" w:cs="方正楷体_GBK"/>
          <w:sz w:val="28"/>
          <w:szCs w:val="22"/>
          <w:lang w:val="en-US" w:eastAsia="zh-CN"/>
        </w:rPr>
      </w:pPr>
      <w:bookmarkStart w:id="20" w:name="_Toc18515"/>
      <w:r>
        <w:rPr>
          <w:rFonts w:hint="eastAsia" w:ascii="方正楷体_GBK" w:hAnsi="方正楷体_GBK" w:eastAsia="方正楷体_GBK" w:cs="方正楷体_GBK"/>
          <w:sz w:val="28"/>
          <w:szCs w:val="22"/>
          <w:lang w:val="en-US" w:eastAsia="zh-CN"/>
        </w:rPr>
        <w:t xml:space="preserve">第七章  </w:t>
      </w:r>
      <w:r>
        <w:rPr>
          <w:rFonts w:hint="default" w:ascii="方正楷体_GBK" w:hAnsi="方正楷体_GBK" w:eastAsia="方正楷体_GBK" w:cs="方正楷体_GBK"/>
          <w:sz w:val="28"/>
          <w:szCs w:val="22"/>
          <w:lang w:val="en-US" w:eastAsia="zh-CN"/>
        </w:rPr>
        <w:t>评标方法（综合评分法）</w:t>
      </w:r>
      <w:bookmarkEnd w:id="20"/>
    </w:p>
    <w:tbl>
      <w:tblPr>
        <w:tblStyle w:val="8"/>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013"/>
        <w:gridCol w:w="1593"/>
        <w:gridCol w:w="2682"/>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851"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center"/>
              <w:textAlignment w:val="auto"/>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条款号</w:t>
            </w:r>
          </w:p>
        </w:tc>
        <w:tc>
          <w:tcPr>
            <w:tcW w:w="1013"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center"/>
              <w:textAlignment w:val="auto"/>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评审程序</w:t>
            </w:r>
          </w:p>
        </w:tc>
        <w:tc>
          <w:tcPr>
            <w:tcW w:w="8181" w:type="dxa"/>
            <w:gridSpan w:val="3"/>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center"/>
              <w:textAlignment w:val="auto"/>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restart"/>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center"/>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3.1</w:t>
            </w:r>
          </w:p>
        </w:tc>
        <w:tc>
          <w:tcPr>
            <w:tcW w:w="1013" w:type="dxa"/>
            <w:vMerge w:val="restart"/>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center"/>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符合性评审标准</w:t>
            </w:r>
          </w:p>
        </w:tc>
        <w:tc>
          <w:tcPr>
            <w:tcW w:w="8181" w:type="dxa"/>
            <w:gridSpan w:val="3"/>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left"/>
              <w:textAlignment w:val="auto"/>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投标人存在下列情况之一的，投标无效：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51" w:type="dxa"/>
            <w:vMerge w:val="continue"/>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textAlignment w:val="auto"/>
              <w:rPr>
                <w:rFonts w:hint="eastAsia" w:ascii="华文楷体" w:hAnsi="华文楷体" w:eastAsia="华文楷体" w:cs="华文楷体"/>
                <w:sz w:val="21"/>
                <w:szCs w:val="21"/>
              </w:rPr>
            </w:pPr>
          </w:p>
        </w:tc>
        <w:tc>
          <w:tcPr>
            <w:tcW w:w="1013" w:type="dxa"/>
            <w:vMerge w:val="continue"/>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textAlignment w:val="auto"/>
              <w:rPr>
                <w:rFonts w:hint="eastAsia" w:ascii="华文楷体" w:hAnsi="华文楷体" w:eastAsia="华文楷体" w:cs="华文楷体"/>
                <w:sz w:val="21"/>
                <w:szCs w:val="21"/>
              </w:rPr>
            </w:pPr>
          </w:p>
        </w:tc>
        <w:tc>
          <w:tcPr>
            <w:tcW w:w="4275" w:type="dxa"/>
            <w:gridSpan w:val="2"/>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center"/>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签署、盖章</w:t>
            </w:r>
          </w:p>
        </w:tc>
        <w:tc>
          <w:tcPr>
            <w:tcW w:w="3906"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投标文件未按招标文件要求签署、盖章的；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textAlignment w:val="auto"/>
              <w:rPr>
                <w:rFonts w:hint="eastAsia" w:ascii="华文楷体" w:hAnsi="华文楷体" w:eastAsia="华文楷体" w:cs="华文楷体"/>
                <w:sz w:val="21"/>
                <w:szCs w:val="21"/>
              </w:rPr>
            </w:pPr>
          </w:p>
        </w:tc>
        <w:tc>
          <w:tcPr>
            <w:tcW w:w="1013" w:type="dxa"/>
            <w:vMerge w:val="continue"/>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textAlignment w:val="auto"/>
              <w:rPr>
                <w:rFonts w:hint="eastAsia" w:ascii="华文楷体" w:hAnsi="华文楷体" w:eastAsia="华文楷体" w:cs="华文楷体"/>
                <w:sz w:val="21"/>
                <w:szCs w:val="21"/>
              </w:rPr>
            </w:pPr>
          </w:p>
        </w:tc>
        <w:tc>
          <w:tcPr>
            <w:tcW w:w="4275" w:type="dxa"/>
            <w:gridSpan w:val="2"/>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center"/>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法定代表人身份证明书及法定代表人授权委托书</w:t>
            </w:r>
          </w:p>
        </w:tc>
        <w:tc>
          <w:tcPr>
            <w:tcW w:w="3906"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投标文件未按招标文件要求签署、盖章的；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textAlignment w:val="auto"/>
              <w:rPr>
                <w:rFonts w:hint="eastAsia" w:ascii="华文楷体" w:hAnsi="华文楷体" w:eastAsia="华文楷体" w:cs="华文楷体"/>
                <w:sz w:val="21"/>
                <w:szCs w:val="21"/>
              </w:rPr>
            </w:pPr>
          </w:p>
        </w:tc>
        <w:tc>
          <w:tcPr>
            <w:tcW w:w="1013" w:type="dxa"/>
            <w:vMerge w:val="continue"/>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textAlignment w:val="auto"/>
              <w:rPr>
                <w:rFonts w:hint="eastAsia" w:ascii="华文楷体" w:hAnsi="华文楷体" w:eastAsia="华文楷体" w:cs="华文楷体"/>
                <w:sz w:val="21"/>
                <w:szCs w:val="21"/>
              </w:rPr>
            </w:pPr>
          </w:p>
        </w:tc>
        <w:tc>
          <w:tcPr>
            <w:tcW w:w="4275" w:type="dxa"/>
            <w:gridSpan w:val="2"/>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center"/>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投标报价</w:t>
            </w:r>
          </w:p>
        </w:tc>
        <w:tc>
          <w:tcPr>
            <w:tcW w:w="3906"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投标报价超过招标文件中规定的预算金额或者最高限价的；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textAlignment w:val="auto"/>
              <w:rPr>
                <w:rFonts w:hint="eastAsia" w:ascii="华文楷体" w:hAnsi="华文楷体" w:eastAsia="华文楷体" w:cs="华文楷体"/>
                <w:sz w:val="21"/>
                <w:szCs w:val="21"/>
              </w:rPr>
            </w:pPr>
          </w:p>
        </w:tc>
        <w:tc>
          <w:tcPr>
            <w:tcW w:w="1013" w:type="dxa"/>
            <w:vMerge w:val="continue"/>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textAlignment w:val="auto"/>
              <w:rPr>
                <w:rFonts w:hint="eastAsia" w:ascii="华文楷体" w:hAnsi="华文楷体" w:eastAsia="华文楷体" w:cs="华文楷体"/>
                <w:sz w:val="21"/>
                <w:szCs w:val="21"/>
              </w:rPr>
            </w:pPr>
          </w:p>
        </w:tc>
        <w:tc>
          <w:tcPr>
            <w:tcW w:w="4275" w:type="dxa"/>
            <w:gridSpan w:val="2"/>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center"/>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不能接受的附加条件</w:t>
            </w:r>
          </w:p>
        </w:tc>
        <w:tc>
          <w:tcPr>
            <w:tcW w:w="3906"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投标文件含有采购人不能接受的附加条件的;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textAlignment w:val="auto"/>
              <w:rPr>
                <w:rFonts w:hint="eastAsia" w:ascii="华文楷体" w:hAnsi="华文楷体" w:eastAsia="华文楷体" w:cs="华文楷体"/>
                <w:sz w:val="21"/>
                <w:szCs w:val="21"/>
              </w:rPr>
            </w:pPr>
          </w:p>
        </w:tc>
        <w:tc>
          <w:tcPr>
            <w:tcW w:w="1013" w:type="dxa"/>
            <w:vMerge w:val="continue"/>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textAlignment w:val="auto"/>
              <w:rPr>
                <w:rFonts w:hint="eastAsia" w:ascii="华文楷体" w:hAnsi="华文楷体" w:eastAsia="华文楷体" w:cs="华文楷体"/>
                <w:sz w:val="21"/>
                <w:szCs w:val="21"/>
              </w:rPr>
            </w:pPr>
          </w:p>
        </w:tc>
        <w:tc>
          <w:tcPr>
            <w:tcW w:w="4275" w:type="dxa"/>
            <w:gridSpan w:val="2"/>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center"/>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其它实质性条件</w:t>
            </w:r>
          </w:p>
        </w:tc>
        <w:tc>
          <w:tcPr>
            <w:tcW w:w="3906"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未实质性响应招标文件中标注★条款内容的；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textAlignment w:val="auto"/>
              <w:rPr>
                <w:rFonts w:hint="eastAsia" w:ascii="华文楷体" w:hAnsi="华文楷体" w:eastAsia="华文楷体" w:cs="华文楷体"/>
                <w:sz w:val="21"/>
                <w:szCs w:val="21"/>
              </w:rPr>
            </w:pPr>
          </w:p>
        </w:tc>
        <w:tc>
          <w:tcPr>
            <w:tcW w:w="1013" w:type="dxa"/>
            <w:vMerge w:val="continue"/>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textAlignment w:val="auto"/>
              <w:rPr>
                <w:rFonts w:hint="eastAsia" w:ascii="华文楷体" w:hAnsi="华文楷体" w:eastAsia="华文楷体" w:cs="华文楷体"/>
                <w:sz w:val="21"/>
                <w:szCs w:val="21"/>
              </w:rPr>
            </w:pPr>
          </w:p>
        </w:tc>
        <w:tc>
          <w:tcPr>
            <w:tcW w:w="4275" w:type="dxa"/>
            <w:gridSpan w:val="2"/>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center"/>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其他无效情形</w:t>
            </w:r>
          </w:p>
        </w:tc>
        <w:tc>
          <w:tcPr>
            <w:tcW w:w="3906"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160" w:lineRule="atLeast"/>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法律、法规和招标文件规定的其他无效情形。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851" w:type="dxa"/>
            <w:vAlign w:val="center"/>
          </w:tcPr>
          <w:p>
            <w:pPr>
              <w:keepNext w:val="0"/>
              <w:keepLines w:val="0"/>
              <w:pageBreakBefore w:val="0"/>
              <w:widowControl w:val="0"/>
              <w:kinsoku/>
              <w:wordWrap/>
              <w:overflowPunct/>
              <w:topLinePunct w:val="0"/>
              <w:autoSpaceDE/>
              <w:autoSpaceDN/>
              <w:bidi w:val="0"/>
              <w:spacing w:before="100" w:beforeAutospacing="1" w:after="100" w:afterAutospacing="1" w:line="240" w:lineRule="atLeast"/>
              <w:jc w:val="center"/>
              <w:textAlignment w:val="auto"/>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条款号</w:t>
            </w:r>
          </w:p>
        </w:tc>
        <w:tc>
          <w:tcPr>
            <w:tcW w:w="1013" w:type="dxa"/>
            <w:vAlign w:val="center"/>
          </w:tcPr>
          <w:p>
            <w:pPr>
              <w:keepNext w:val="0"/>
              <w:keepLines w:val="0"/>
              <w:pageBreakBefore w:val="0"/>
              <w:widowControl w:val="0"/>
              <w:kinsoku/>
              <w:wordWrap/>
              <w:overflowPunct/>
              <w:topLinePunct w:val="0"/>
              <w:autoSpaceDE/>
              <w:autoSpaceDN/>
              <w:bidi w:val="0"/>
              <w:spacing w:before="100" w:beforeAutospacing="1" w:after="100" w:afterAutospacing="1" w:line="240" w:lineRule="atLeast"/>
              <w:jc w:val="center"/>
              <w:textAlignment w:val="auto"/>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评审程序</w:t>
            </w:r>
          </w:p>
        </w:tc>
        <w:tc>
          <w:tcPr>
            <w:tcW w:w="8181" w:type="dxa"/>
            <w:gridSpan w:val="3"/>
            <w:vAlign w:val="center"/>
          </w:tcPr>
          <w:p>
            <w:pPr>
              <w:keepNext w:val="0"/>
              <w:keepLines w:val="0"/>
              <w:pageBreakBefore w:val="0"/>
              <w:widowControl w:val="0"/>
              <w:kinsoku/>
              <w:wordWrap/>
              <w:overflowPunct/>
              <w:topLinePunct w:val="0"/>
              <w:autoSpaceDE/>
              <w:autoSpaceDN/>
              <w:bidi w:val="0"/>
              <w:spacing w:before="100" w:beforeAutospacing="1" w:after="100" w:afterAutospacing="1" w:line="240" w:lineRule="atLeast"/>
              <w:jc w:val="center"/>
              <w:textAlignment w:val="auto"/>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851" w:type="dxa"/>
            <w:vMerge w:val="restart"/>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3.2</w:t>
            </w:r>
          </w:p>
        </w:tc>
        <w:tc>
          <w:tcPr>
            <w:tcW w:w="1013" w:type="dxa"/>
            <w:vMerge w:val="restart"/>
            <w:vAlign w:val="center"/>
          </w:tcPr>
          <w:p>
            <w:pPr>
              <w:keepNext w:val="0"/>
              <w:keepLines w:val="0"/>
              <w:pageBreakBefore w:val="0"/>
              <w:widowControl w:val="0"/>
              <w:kinsoku/>
              <w:wordWrap/>
              <w:overflowPunct/>
              <w:topLinePunct w:val="0"/>
              <w:autoSpaceDE/>
              <w:autoSpaceDN/>
              <w:bidi w:val="0"/>
              <w:spacing w:line="240" w:lineRule="atLeas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详细评审标准</w:t>
            </w:r>
          </w:p>
        </w:tc>
        <w:tc>
          <w:tcPr>
            <w:tcW w:w="1593" w:type="dxa"/>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1、评标总得分计算公式</w:t>
            </w:r>
          </w:p>
        </w:tc>
        <w:tc>
          <w:tcPr>
            <w:tcW w:w="6588" w:type="dxa"/>
            <w:gridSpan w:val="2"/>
            <w:vAlign w:val="center"/>
          </w:tcPr>
          <w:p>
            <w:pPr>
              <w:keepNext w:val="0"/>
              <w:keepLines w:val="0"/>
              <w:pageBreakBefore w:val="0"/>
              <w:widowControl w:val="0"/>
              <w:kinsoku/>
              <w:wordWrap/>
              <w:overflowPunct/>
              <w:topLinePunct w:val="0"/>
              <w:autoSpaceDE/>
              <w:autoSpaceDN/>
              <w:bidi w:val="0"/>
              <w:spacing w:line="240" w:lineRule="atLeas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投标人的评标总得分＝F1＋F2＋F3</w:t>
            </w:r>
          </w:p>
          <w:p>
            <w:pPr>
              <w:keepNext w:val="0"/>
              <w:keepLines w:val="0"/>
              <w:pageBreakBefore w:val="0"/>
              <w:widowControl w:val="0"/>
              <w:kinsoku/>
              <w:wordWrap/>
              <w:overflowPunct/>
              <w:topLinePunct w:val="0"/>
              <w:autoSpaceDE/>
              <w:autoSpaceDN/>
              <w:bidi w:val="0"/>
              <w:spacing w:line="240" w:lineRule="atLeas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其中：①F1、F2、F3分别为投标报价、技术部分、商务部分3项评分因素的汇总得分；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pPr>
              <w:keepNext w:val="0"/>
              <w:keepLines w:val="0"/>
              <w:pageBreakBefore w:val="0"/>
              <w:widowControl w:val="0"/>
              <w:kinsoku/>
              <w:wordWrap/>
              <w:overflowPunct/>
              <w:topLinePunct w:val="0"/>
              <w:autoSpaceDE/>
              <w:autoSpaceDN/>
              <w:bidi w:val="0"/>
              <w:spacing w:line="240" w:lineRule="atLeast"/>
              <w:textAlignment w:val="auto"/>
              <w:rPr>
                <w:rFonts w:hint="eastAsia" w:ascii="华文楷体" w:hAnsi="华文楷体" w:eastAsia="华文楷体" w:cs="华文楷体"/>
                <w:sz w:val="21"/>
                <w:szCs w:val="21"/>
              </w:rPr>
            </w:pPr>
          </w:p>
        </w:tc>
        <w:tc>
          <w:tcPr>
            <w:tcW w:w="1013" w:type="dxa"/>
            <w:vMerge w:val="continue"/>
            <w:vAlign w:val="center"/>
          </w:tcPr>
          <w:p>
            <w:pPr>
              <w:keepNext w:val="0"/>
              <w:keepLines w:val="0"/>
              <w:pageBreakBefore w:val="0"/>
              <w:widowControl w:val="0"/>
              <w:kinsoku/>
              <w:wordWrap/>
              <w:overflowPunct/>
              <w:topLinePunct w:val="0"/>
              <w:autoSpaceDE/>
              <w:autoSpaceDN/>
              <w:bidi w:val="0"/>
              <w:spacing w:line="240" w:lineRule="atLeast"/>
              <w:textAlignment w:val="auto"/>
              <w:rPr>
                <w:rFonts w:hint="eastAsia" w:ascii="华文楷体" w:hAnsi="华文楷体" w:eastAsia="华文楷体" w:cs="华文楷体"/>
                <w:sz w:val="21"/>
                <w:szCs w:val="21"/>
              </w:rPr>
            </w:pPr>
          </w:p>
        </w:tc>
        <w:tc>
          <w:tcPr>
            <w:tcW w:w="1593" w:type="dxa"/>
            <w:vAlign w:val="center"/>
          </w:tcPr>
          <w:p>
            <w:pPr>
              <w:keepNext w:val="0"/>
              <w:keepLines w:val="0"/>
              <w:pageBreakBefore w:val="0"/>
              <w:widowControl w:val="0"/>
              <w:kinsoku/>
              <w:wordWrap/>
              <w:overflowPunct/>
              <w:topLinePunct w:val="0"/>
              <w:autoSpaceDE/>
              <w:autoSpaceDN/>
              <w:bidi w:val="0"/>
              <w:spacing w:line="240" w:lineRule="atLeas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2、评分因素</w:t>
            </w:r>
          </w:p>
          <w:p>
            <w:pPr>
              <w:keepNext w:val="0"/>
              <w:keepLines w:val="0"/>
              <w:pageBreakBefore w:val="0"/>
              <w:widowControl w:val="0"/>
              <w:kinsoku/>
              <w:wordWrap/>
              <w:overflowPunct/>
              <w:topLinePunct w:val="0"/>
              <w:autoSpaceDE/>
              <w:autoSpaceDN/>
              <w:bidi w:val="0"/>
              <w:spacing w:line="240" w:lineRule="atLeas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分值及权重</w:t>
            </w:r>
          </w:p>
        </w:tc>
        <w:tc>
          <w:tcPr>
            <w:tcW w:w="6588" w:type="dxa"/>
            <w:gridSpan w:val="2"/>
            <w:vAlign w:val="center"/>
          </w:tcPr>
          <w:p>
            <w:pPr>
              <w:keepNext w:val="0"/>
              <w:keepLines w:val="0"/>
              <w:pageBreakBefore w:val="0"/>
              <w:widowControl w:val="0"/>
              <w:kinsoku/>
              <w:wordWrap/>
              <w:overflowPunct/>
              <w:topLinePunct w:val="0"/>
              <w:autoSpaceDE/>
              <w:autoSpaceDN/>
              <w:bidi w:val="0"/>
              <w:spacing w:line="240" w:lineRule="atLeast"/>
              <w:ind w:left="1258" w:hanging="1258"/>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投标报价F1：满分30分。技术部分F2：满分</w:t>
            </w:r>
            <w:r>
              <w:rPr>
                <w:rFonts w:hint="eastAsia" w:ascii="华文楷体" w:hAnsi="华文楷体" w:eastAsia="华文楷体" w:cs="华文楷体"/>
                <w:sz w:val="21"/>
                <w:szCs w:val="21"/>
                <w:lang w:val="en-US" w:eastAsia="zh-CN"/>
              </w:rPr>
              <w:t>4</w:t>
            </w:r>
            <w:r>
              <w:rPr>
                <w:rFonts w:hint="eastAsia" w:ascii="华文楷体" w:hAnsi="华文楷体" w:eastAsia="华文楷体" w:cs="华文楷体"/>
                <w:sz w:val="21"/>
                <w:szCs w:val="21"/>
              </w:rPr>
              <w:t>0分。</w:t>
            </w:r>
          </w:p>
          <w:p>
            <w:pPr>
              <w:keepNext w:val="0"/>
              <w:keepLines w:val="0"/>
              <w:pageBreakBefore w:val="0"/>
              <w:widowControl w:val="0"/>
              <w:kinsoku/>
              <w:wordWrap/>
              <w:overflowPunct/>
              <w:topLinePunct w:val="0"/>
              <w:autoSpaceDE/>
              <w:autoSpaceDN/>
              <w:bidi w:val="0"/>
              <w:spacing w:line="240" w:lineRule="atLeast"/>
              <w:ind w:left="1258" w:hanging="1258"/>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商务部分F3：满分</w:t>
            </w:r>
            <w:r>
              <w:rPr>
                <w:rFonts w:hint="eastAsia" w:ascii="华文楷体" w:hAnsi="华文楷体" w:eastAsia="华文楷体" w:cs="华文楷体"/>
                <w:sz w:val="21"/>
                <w:szCs w:val="21"/>
                <w:lang w:val="en-US" w:eastAsia="zh-CN"/>
              </w:rPr>
              <w:t>3</w:t>
            </w:r>
            <w:r>
              <w:rPr>
                <w:rFonts w:hint="eastAsia" w:ascii="华文楷体" w:hAnsi="华文楷体" w:eastAsia="华文楷体" w:cs="华文楷体"/>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pPr>
              <w:keepNext w:val="0"/>
              <w:keepLines w:val="0"/>
              <w:pageBreakBefore w:val="0"/>
              <w:widowControl w:val="0"/>
              <w:kinsoku/>
              <w:wordWrap/>
              <w:overflowPunct/>
              <w:topLinePunct w:val="0"/>
              <w:autoSpaceDE/>
              <w:autoSpaceDN/>
              <w:bidi w:val="0"/>
              <w:spacing w:line="240" w:lineRule="atLeast"/>
              <w:textAlignment w:val="auto"/>
              <w:rPr>
                <w:rFonts w:hint="eastAsia" w:ascii="华文楷体" w:hAnsi="华文楷体" w:eastAsia="华文楷体" w:cs="华文楷体"/>
                <w:sz w:val="21"/>
                <w:szCs w:val="21"/>
              </w:rPr>
            </w:pPr>
          </w:p>
        </w:tc>
        <w:tc>
          <w:tcPr>
            <w:tcW w:w="1013" w:type="dxa"/>
            <w:vMerge w:val="continue"/>
            <w:vAlign w:val="center"/>
          </w:tcPr>
          <w:p>
            <w:pPr>
              <w:keepNext w:val="0"/>
              <w:keepLines w:val="0"/>
              <w:pageBreakBefore w:val="0"/>
              <w:widowControl w:val="0"/>
              <w:kinsoku/>
              <w:wordWrap/>
              <w:overflowPunct/>
              <w:topLinePunct w:val="0"/>
              <w:autoSpaceDE/>
              <w:autoSpaceDN/>
              <w:bidi w:val="0"/>
              <w:spacing w:line="240" w:lineRule="atLeast"/>
              <w:textAlignment w:val="auto"/>
              <w:rPr>
                <w:rFonts w:hint="eastAsia" w:ascii="华文楷体" w:hAnsi="华文楷体" w:eastAsia="华文楷体" w:cs="华文楷体"/>
                <w:sz w:val="21"/>
                <w:szCs w:val="21"/>
              </w:rPr>
            </w:pPr>
          </w:p>
        </w:tc>
        <w:tc>
          <w:tcPr>
            <w:tcW w:w="1593"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3、投标报价</w:t>
            </w:r>
          </w:p>
          <w:p>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评审F1</w:t>
            </w:r>
          </w:p>
          <w:p>
            <w:pPr>
              <w:keepNext w:val="0"/>
              <w:keepLines w:val="0"/>
              <w:pageBreakBefore w:val="0"/>
              <w:widowControl w:val="0"/>
              <w:kinsoku/>
              <w:wordWrap/>
              <w:overflowPunct/>
              <w:topLinePunct w:val="0"/>
              <w:autoSpaceDE/>
              <w:autoSpaceDN/>
              <w:bidi w:val="0"/>
              <w:spacing w:line="240" w:lineRule="atLeas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（满分30分）</w:t>
            </w:r>
          </w:p>
        </w:tc>
        <w:tc>
          <w:tcPr>
            <w:tcW w:w="6588"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pacing w:line="240" w:lineRule="atLeas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投标报价计算公式= </w:t>
            </w:r>
            <w:r>
              <w:rPr>
                <w:rFonts w:hint="eastAsia" w:ascii="华文楷体" w:hAnsi="华文楷体" w:eastAsia="华文楷体" w:cs="华文楷体"/>
                <w:position w:val="-26"/>
                <w:sz w:val="21"/>
                <w:szCs w:val="21"/>
              </w:rPr>
              <w:object>
                <v:shape id="_x0000_i1025" o:spt="75" type="#_x0000_t75" style="height:36.25pt;width:77.6pt;" o:ole="t" filled="f" o:preferrelative="t" stroked="f" coordsize="21600,21600">
                  <v:path/>
                  <v:fill on="f" focussize="0,0"/>
                  <v:stroke on="f" joinstyle="miter"/>
                  <v:imagedata r:id="rId5" o:title="341228446826312"/>
                  <o:lock v:ext="edit" aspectratio="t"/>
                  <w10:wrap type="none"/>
                  <w10:anchorlock/>
                </v:shape>
                <o:OLEObject Type="Embed" ProgID="Equation.3" ShapeID="_x0000_i1025" DrawAspect="Content" ObjectID="_1468075725" r:id="rId4">
                  <o:LockedField>false</o:LockedField>
                </o:OLEObject>
              </w:object>
            </w:r>
            <w:r>
              <w:rPr>
                <w:rFonts w:hint="eastAsia" w:ascii="华文楷体" w:hAnsi="华文楷体" w:eastAsia="华文楷体" w:cs="华文楷体"/>
                <w:sz w:val="21"/>
                <w:szCs w:val="21"/>
              </w:rPr>
              <w:t>×30</w:t>
            </w:r>
          </w:p>
          <w:p>
            <w:pPr>
              <w:keepNext w:val="0"/>
              <w:keepLines w:val="0"/>
              <w:pageBreakBefore w:val="0"/>
              <w:widowControl w:val="0"/>
              <w:kinsoku/>
              <w:wordWrap/>
              <w:overflowPunct/>
              <w:topLinePunct w:val="0"/>
              <w:autoSpaceDE/>
              <w:autoSpaceDN/>
              <w:bidi w:val="0"/>
              <w:adjustRightInd w:val="0"/>
              <w:spacing w:line="240" w:lineRule="atLeas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即：F1=[C/（B1，B2，…，Bn）]×30</w:t>
            </w:r>
          </w:p>
          <w:p>
            <w:pPr>
              <w:keepNext w:val="0"/>
              <w:keepLines w:val="0"/>
              <w:pageBreakBefore w:val="0"/>
              <w:widowControl w:val="0"/>
              <w:kinsoku/>
              <w:wordWrap/>
              <w:overflowPunct/>
              <w:topLinePunct w:val="0"/>
              <w:autoSpaceDE/>
              <w:autoSpaceDN/>
              <w:bidi w:val="0"/>
              <w:adjustRightInd w:val="0"/>
              <w:spacing w:line="240" w:lineRule="atLeast"/>
              <w:textAlignment w:val="auto"/>
              <w:rPr>
                <w:rFonts w:hint="eastAsia" w:ascii="华文楷体" w:hAnsi="华文楷体" w:eastAsia="华文楷体" w:cs="华文楷体"/>
                <w:sz w:val="21"/>
                <w:szCs w:val="21"/>
                <w:lang w:val="en-US"/>
              </w:rPr>
            </w:pPr>
            <w:r>
              <w:rPr>
                <w:rFonts w:hint="eastAsia" w:ascii="华文楷体" w:hAnsi="华文楷体" w:eastAsia="华文楷体" w:cs="华文楷体"/>
                <w:sz w:val="21"/>
                <w:szCs w:val="21"/>
              </w:rPr>
              <w:t>注：C为评标基准价，即经初步审查合格且投标价格最低的有效投标报价；B1，B2，…，Bn为第n个经初步审查合格的有效投标报价。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3.3</w:t>
            </w:r>
          </w:p>
        </w:tc>
        <w:tc>
          <w:tcPr>
            <w:tcW w:w="1013" w:type="dxa"/>
            <w:vMerge w:val="restart"/>
            <w:vAlign w:val="center"/>
          </w:tcPr>
          <w:p>
            <w:pPr>
              <w:keepNext w:val="0"/>
              <w:keepLines w:val="0"/>
              <w:pageBreakBefore w:val="0"/>
              <w:widowControl w:val="0"/>
              <w:kinsoku/>
              <w:wordWrap/>
              <w:overflowPunct/>
              <w:topLinePunct w:val="0"/>
              <w:autoSpaceDE/>
              <w:autoSpaceDN/>
              <w:bidi w:val="0"/>
              <w:spacing w:line="240" w:lineRule="atLeas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详细评审标准</w:t>
            </w:r>
          </w:p>
        </w:tc>
        <w:tc>
          <w:tcPr>
            <w:tcW w:w="1593" w:type="dxa"/>
            <w:shd w:val="clear" w:color="auto" w:fill="auto"/>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4、技术部分</w:t>
            </w:r>
          </w:p>
          <w:p>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评审F2</w:t>
            </w:r>
          </w:p>
          <w:p>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（满分</w:t>
            </w:r>
            <w:r>
              <w:rPr>
                <w:rFonts w:hint="eastAsia" w:ascii="华文楷体" w:hAnsi="华文楷体" w:eastAsia="华文楷体" w:cs="华文楷体"/>
                <w:sz w:val="21"/>
                <w:szCs w:val="21"/>
                <w:lang w:val="en-US" w:eastAsia="zh-CN"/>
              </w:rPr>
              <w:t>4</w:t>
            </w:r>
            <w:r>
              <w:rPr>
                <w:rFonts w:hint="eastAsia" w:ascii="华文楷体" w:hAnsi="华文楷体" w:eastAsia="华文楷体" w:cs="华文楷体"/>
                <w:sz w:val="21"/>
                <w:szCs w:val="21"/>
              </w:rPr>
              <w:t>0分）</w:t>
            </w:r>
          </w:p>
        </w:tc>
        <w:tc>
          <w:tcPr>
            <w:tcW w:w="6588" w:type="dxa"/>
            <w:gridSpan w:val="2"/>
            <w:shd w:val="clear" w:color="auto" w:fill="auto"/>
            <w:vAlign w:val="center"/>
          </w:tcPr>
          <w:p>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sz w:val="21"/>
                <w:szCs w:val="21"/>
              </w:rPr>
              <w:t>1）《货物需求及技术要求》技术指标响应评分（</w:t>
            </w:r>
            <w:r>
              <w:rPr>
                <w:rFonts w:hint="eastAsia" w:ascii="华文楷体" w:hAnsi="华文楷体" w:eastAsia="华文楷体" w:cs="华文楷体"/>
                <w:b/>
                <w:bCs/>
                <w:sz w:val="21"/>
                <w:szCs w:val="21"/>
              </w:rPr>
              <w:t>满分</w:t>
            </w:r>
            <w:r>
              <w:rPr>
                <w:rFonts w:hint="eastAsia" w:ascii="华文楷体" w:hAnsi="华文楷体" w:eastAsia="华文楷体" w:cs="华文楷体"/>
                <w:b/>
                <w:bCs/>
                <w:sz w:val="21"/>
                <w:szCs w:val="21"/>
                <w:lang w:val="en-US" w:eastAsia="zh-CN"/>
              </w:rPr>
              <w:t>40</w:t>
            </w:r>
            <w:r>
              <w:rPr>
                <w:rFonts w:hint="eastAsia" w:ascii="华文楷体" w:hAnsi="华文楷体" w:eastAsia="华文楷体" w:cs="华文楷体"/>
                <w:b/>
                <w:bCs/>
                <w:sz w:val="21"/>
                <w:szCs w:val="21"/>
              </w:rPr>
              <w:t>分）</w:t>
            </w:r>
          </w:p>
          <w:p>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a.重要参数评审评分</w:t>
            </w:r>
          </w:p>
          <w:p>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“★”参数部分为重要参数，重要参数不满足一条扣</w:t>
            </w:r>
            <w:r>
              <w:rPr>
                <w:rFonts w:hint="eastAsia" w:ascii="华文楷体" w:hAnsi="华文楷体" w:eastAsia="华文楷体" w:cs="华文楷体"/>
                <w:sz w:val="21"/>
                <w:szCs w:val="21"/>
                <w:lang w:val="en-US" w:eastAsia="zh-CN"/>
              </w:rPr>
              <w:t>4</w:t>
            </w:r>
            <w:r>
              <w:rPr>
                <w:rFonts w:hint="eastAsia" w:ascii="华文楷体" w:hAnsi="华文楷体" w:eastAsia="华文楷体" w:cs="华文楷体"/>
                <w:sz w:val="21"/>
                <w:szCs w:val="21"/>
              </w:rPr>
              <w:t>分，扣完为止。小数点后保留两位小数（四舍五入）。</w:t>
            </w:r>
          </w:p>
          <w:p>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b.一般参数评审评分</w:t>
            </w:r>
          </w:p>
          <w:p>
            <w:pPr>
              <w:keepNext w:val="0"/>
              <w:keepLines w:val="0"/>
              <w:pageBreakBefore w:val="0"/>
              <w:widowControl w:val="0"/>
              <w:kinsoku/>
              <w:wordWrap/>
              <w:overflowPunct/>
              <w:topLinePunct w:val="0"/>
              <w:autoSpaceDE/>
              <w:autoSpaceDN/>
              <w:bidi w:val="0"/>
              <w:snapToGrid w:val="0"/>
              <w:spacing w:line="240" w:lineRule="auto"/>
              <w:jc w:val="left"/>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非“★”参数部分为一般参数，不满足一条扣</w:t>
            </w:r>
            <w:r>
              <w:rPr>
                <w:rFonts w:hint="eastAsia" w:ascii="华文楷体" w:hAnsi="华文楷体" w:eastAsia="华文楷体" w:cs="华文楷体"/>
                <w:sz w:val="21"/>
                <w:szCs w:val="21"/>
                <w:lang w:val="en-US" w:eastAsia="zh-CN"/>
              </w:rPr>
              <w:t>2</w:t>
            </w:r>
            <w:r>
              <w:rPr>
                <w:rFonts w:hint="eastAsia" w:ascii="华文楷体" w:hAnsi="华文楷体" w:eastAsia="华文楷体" w:cs="华文楷体"/>
                <w:sz w:val="21"/>
                <w:szCs w:val="21"/>
              </w:rPr>
              <w:t>分，扣完为止。小数点后保留两位小数（四舍五入）</w:t>
            </w:r>
          </w:p>
          <w:p>
            <w:pPr>
              <w:keepNext w:val="0"/>
              <w:keepLines w:val="0"/>
              <w:pageBreakBefore w:val="0"/>
              <w:widowControl w:val="0"/>
              <w:kinsoku/>
              <w:wordWrap/>
              <w:overflowPunct/>
              <w:topLinePunct w:val="0"/>
              <w:autoSpaceDE/>
              <w:autoSpaceDN/>
              <w:bidi w:val="0"/>
              <w:snapToGrid w:val="0"/>
              <w:spacing w:line="240" w:lineRule="atLeast"/>
              <w:jc w:val="left"/>
              <w:textAlignment w:val="auto"/>
              <w:rPr>
                <w:rFonts w:hint="eastAsia" w:ascii="华文楷体" w:hAnsi="华文楷体" w:eastAsia="华文楷体" w:cs="华文楷体"/>
                <w:sz w:val="21"/>
                <w:szCs w:val="21"/>
              </w:rPr>
            </w:pPr>
          </w:p>
          <w:p>
            <w:pPr>
              <w:keepNext w:val="0"/>
              <w:keepLines w:val="0"/>
              <w:pageBreakBefore w:val="0"/>
              <w:widowControl w:val="0"/>
              <w:kinsoku/>
              <w:wordWrap/>
              <w:overflowPunct/>
              <w:topLinePunct w:val="0"/>
              <w:autoSpaceDE/>
              <w:autoSpaceDN/>
              <w:bidi w:val="0"/>
              <w:snapToGrid w:val="0"/>
              <w:spacing w:line="240" w:lineRule="atLeast"/>
              <w:jc w:val="left"/>
              <w:textAlignment w:val="auto"/>
              <w:rPr>
                <w:rFonts w:hint="eastAsia" w:ascii="华文楷体" w:hAnsi="华文楷体" w:eastAsia="华文楷体" w:cs="华文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pPr>
              <w:keepNext w:val="0"/>
              <w:keepLines w:val="0"/>
              <w:pageBreakBefore w:val="0"/>
              <w:widowControl w:val="0"/>
              <w:kinsoku/>
              <w:wordWrap/>
              <w:overflowPunct/>
              <w:topLinePunct w:val="0"/>
              <w:autoSpaceDE/>
              <w:autoSpaceDN/>
              <w:bidi w:val="0"/>
              <w:spacing w:line="240" w:lineRule="atLeast"/>
              <w:textAlignment w:val="auto"/>
              <w:rPr>
                <w:rFonts w:hint="eastAsia" w:ascii="华文楷体" w:hAnsi="华文楷体" w:eastAsia="华文楷体" w:cs="华文楷体"/>
                <w:sz w:val="21"/>
                <w:szCs w:val="21"/>
              </w:rPr>
            </w:pPr>
          </w:p>
        </w:tc>
        <w:tc>
          <w:tcPr>
            <w:tcW w:w="1013" w:type="dxa"/>
            <w:vMerge w:val="continue"/>
            <w:vAlign w:val="center"/>
          </w:tcPr>
          <w:p>
            <w:pPr>
              <w:keepNext w:val="0"/>
              <w:keepLines w:val="0"/>
              <w:pageBreakBefore w:val="0"/>
              <w:widowControl w:val="0"/>
              <w:kinsoku/>
              <w:wordWrap/>
              <w:overflowPunct/>
              <w:topLinePunct w:val="0"/>
              <w:autoSpaceDE/>
              <w:autoSpaceDN/>
              <w:bidi w:val="0"/>
              <w:spacing w:line="240" w:lineRule="atLeast"/>
              <w:textAlignment w:val="auto"/>
              <w:rPr>
                <w:rFonts w:hint="eastAsia" w:ascii="华文楷体" w:hAnsi="华文楷体" w:eastAsia="华文楷体" w:cs="华文楷体"/>
                <w:sz w:val="21"/>
                <w:szCs w:val="21"/>
              </w:rPr>
            </w:pPr>
          </w:p>
        </w:tc>
        <w:tc>
          <w:tcPr>
            <w:tcW w:w="1593" w:type="dxa"/>
            <w:vAlign w:val="center"/>
          </w:tcPr>
          <w:p>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5、商务部分</w:t>
            </w:r>
          </w:p>
          <w:p>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评审F3</w:t>
            </w:r>
          </w:p>
          <w:p>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（满分</w:t>
            </w:r>
            <w:r>
              <w:rPr>
                <w:rFonts w:hint="eastAsia" w:ascii="华文楷体" w:hAnsi="华文楷体" w:eastAsia="华文楷体" w:cs="华文楷体"/>
                <w:sz w:val="21"/>
                <w:szCs w:val="21"/>
                <w:lang w:val="en-US" w:eastAsia="zh-CN"/>
              </w:rPr>
              <w:t>3</w:t>
            </w:r>
            <w:r>
              <w:rPr>
                <w:rFonts w:hint="eastAsia" w:ascii="华文楷体" w:hAnsi="华文楷体" w:eastAsia="华文楷体" w:cs="华文楷体"/>
                <w:sz w:val="21"/>
                <w:szCs w:val="21"/>
              </w:rPr>
              <w:t>0分）</w:t>
            </w:r>
          </w:p>
        </w:tc>
        <w:tc>
          <w:tcPr>
            <w:tcW w:w="6588" w:type="dxa"/>
            <w:gridSpan w:val="2"/>
            <w:vAlign w:val="center"/>
          </w:tcPr>
          <w:p>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1）商务指标响应评分</w:t>
            </w:r>
            <w:r>
              <w:rPr>
                <w:rFonts w:hint="eastAsia" w:ascii="华文楷体" w:hAnsi="华文楷体" w:eastAsia="华文楷体" w:cs="华文楷体"/>
                <w:b/>
                <w:bCs/>
                <w:sz w:val="21"/>
                <w:szCs w:val="21"/>
              </w:rPr>
              <w:t>（满分</w:t>
            </w:r>
            <w:r>
              <w:rPr>
                <w:rFonts w:hint="eastAsia" w:ascii="华文楷体" w:hAnsi="华文楷体" w:eastAsia="华文楷体" w:cs="华文楷体"/>
                <w:b/>
                <w:bCs/>
                <w:sz w:val="21"/>
                <w:szCs w:val="21"/>
                <w:lang w:val="en-US" w:eastAsia="zh-CN"/>
              </w:rPr>
              <w:t>3</w:t>
            </w:r>
            <w:r>
              <w:rPr>
                <w:rFonts w:hint="eastAsia" w:ascii="华文楷体" w:hAnsi="华文楷体" w:eastAsia="华文楷体" w:cs="华文楷体"/>
                <w:b/>
                <w:bCs/>
                <w:sz w:val="21"/>
                <w:szCs w:val="21"/>
              </w:rPr>
              <w:t>分）</w:t>
            </w:r>
          </w:p>
          <w:p>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华文楷体" w:hAnsi="华文楷体" w:eastAsia="华文楷体" w:cs="华文楷体"/>
                <w:b/>
                <w:sz w:val="21"/>
                <w:szCs w:val="21"/>
              </w:rPr>
            </w:pPr>
            <w:r>
              <w:rPr>
                <w:rFonts w:hint="eastAsia" w:ascii="华文楷体" w:hAnsi="华文楷体" w:eastAsia="华文楷体" w:cs="华文楷体"/>
                <w:sz w:val="21"/>
                <w:szCs w:val="21"/>
              </w:rPr>
              <w:t>根据投标文件对招标文件商务指标的响应程度进行评分，招标文件第五章“货物需求及技术要求”的商务要求和“合同条款前附表”中的要求、付款方式、履约保证金、交货期要求，每出现一项不满足招标文件不得分。</w:t>
            </w:r>
          </w:p>
          <w:p>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2）</w:t>
            </w:r>
            <w:r>
              <w:rPr>
                <w:rFonts w:hint="eastAsia" w:ascii="华文楷体" w:hAnsi="华文楷体" w:eastAsia="华文楷体" w:cs="华文楷体"/>
                <w:b/>
                <w:bCs/>
                <w:sz w:val="21"/>
                <w:szCs w:val="21"/>
              </w:rPr>
              <w:t>质保期评分（满分</w:t>
            </w:r>
            <w:r>
              <w:rPr>
                <w:rFonts w:hint="eastAsia" w:ascii="华文楷体" w:hAnsi="华文楷体" w:eastAsia="华文楷体" w:cs="华文楷体"/>
                <w:b/>
                <w:bCs/>
                <w:sz w:val="21"/>
                <w:szCs w:val="21"/>
                <w:lang w:val="en-US" w:eastAsia="zh-CN"/>
              </w:rPr>
              <w:t>4</w:t>
            </w:r>
            <w:r>
              <w:rPr>
                <w:rFonts w:hint="eastAsia" w:ascii="华文楷体" w:hAnsi="华文楷体" w:eastAsia="华文楷体" w:cs="华文楷体"/>
                <w:b/>
                <w:bCs/>
                <w:sz w:val="21"/>
                <w:szCs w:val="21"/>
              </w:rPr>
              <w:t>分）</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华文楷体" w:hAnsi="华文楷体" w:eastAsia="华文楷体" w:cs="华文楷体"/>
                <w:b/>
                <w:bCs/>
                <w:sz w:val="21"/>
                <w:szCs w:val="21"/>
              </w:rPr>
            </w:pPr>
            <w:r>
              <w:rPr>
                <w:rFonts w:hint="eastAsia" w:ascii="华文楷体" w:hAnsi="华文楷体" w:eastAsia="华文楷体" w:cs="华文楷体"/>
                <w:sz w:val="21"/>
                <w:szCs w:val="21"/>
              </w:rPr>
              <w:t>投标文件中承诺的质保期在招标文件要求的基础上，每增加一年（12个月，不足12个月的不计）加1分，加到满分为止。</w:t>
            </w:r>
          </w:p>
          <w:p>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华文楷体" w:hAnsi="华文楷体" w:eastAsia="华文楷体" w:cs="华文楷体"/>
                <w:b/>
                <w:sz w:val="21"/>
                <w:szCs w:val="21"/>
              </w:rPr>
            </w:pPr>
            <w:r>
              <w:rPr>
                <w:rFonts w:hint="eastAsia" w:ascii="华文楷体" w:hAnsi="华文楷体" w:eastAsia="华文楷体" w:cs="华文楷体"/>
                <w:b/>
                <w:bCs/>
                <w:sz w:val="21"/>
                <w:szCs w:val="21"/>
              </w:rPr>
              <w:t>3）</w:t>
            </w:r>
            <w:r>
              <w:rPr>
                <w:rFonts w:hint="eastAsia" w:ascii="华文楷体" w:hAnsi="华文楷体" w:eastAsia="华文楷体" w:cs="华文楷体"/>
                <w:b/>
                <w:sz w:val="21"/>
                <w:szCs w:val="21"/>
              </w:rPr>
              <w:t>投标人对设备的安装、调试及售后服务承诺的完整性、可行性（满分</w:t>
            </w:r>
            <w:r>
              <w:rPr>
                <w:rFonts w:hint="eastAsia" w:ascii="华文楷体" w:hAnsi="华文楷体" w:eastAsia="华文楷体" w:cs="华文楷体"/>
                <w:b/>
                <w:sz w:val="21"/>
                <w:szCs w:val="21"/>
                <w:lang w:val="en-US" w:eastAsia="zh-CN"/>
              </w:rPr>
              <w:t>20</w:t>
            </w:r>
            <w:r>
              <w:rPr>
                <w:rFonts w:hint="eastAsia" w:ascii="华文楷体" w:hAnsi="华文楷体" w:eastAsia="华文楷体" w:cs="华文楷体"/>
                <w:b/>
                <w:sz w:val="21"/>
                <w:szCs w:val="21"/>
              </w:rPr>
              <w:t>分）</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提供完善的技术服务方案，至少包括巡检内容、故障处理、性能调优、升级服务等方面。提供完整售后服务及故障处理程序，包括流程、响应/处理时间、负责人及负责人电话、质量监管及处罚等。方案合理、操作性强，且切实可行。针对项目实际情况提交培训方案，包括具体培训内容、培训方式、培训次数及规模等内容，具有可行性。</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第一个档次（</w:t>
            </w:r>
            <w:r>
              <w:rPr>
                <w:rFonts w:hint="eastAsia" w:ascii="华文楷体" w:hAnsi="华文楷体" w:eastAsia="华文楷体" w:cs="华文楷体"/>
                <w:sz w:val="21"/>
                <w:szCs w:val="21"/>
                <w:lang w:val="en-US" w:eastAsia="zh-CN"/>
              </w:rPr>
              <w:t>14</w:t>
            </w:r>
            <w:r>
              <w:rPr>
                <w:rFonts w:hint="eastAsia" w:ascii="华文楷体" w:hAnsi="华文楷体" w:eastAsia="华文楷体" w:cs="华文楷体"/>
                <w:sz w:val="21"/>
                <w:szCs w:val="21"/>
              </w:rPr>
              <w:t>～</w:t>
            </w:r>
            <w:r>
              <w:rPr>
                <w:rFonts w:hint="eastAsia" w:ascii="华文楷体" w:hAnsi="华文楷体" w:eastAsia="华文楷体" w:cs="华文楷体"/>
                <w:sz w:val="21"/>
                <w:szCs w:val="21"/>
                <w:lang w:val="en-US" w:eastAsia="zh-CN"/>
              </w:rPr>
              <w:t>2</w:t>
            </w:r>
            <w:r>
              <w:rPr>
                <w:rFonts w:hint="eastAsia" w:ascii="华文楷体" w:hAnsi="华文楷体" w:eastAsia="华文楷体" w:cs="华文楷体"/>
                <w:sz w:val="21"/>
                <w:szCs w:val="21"/>
              </w:rPr>
              <w:t>0分）：技术服务方案全面、合理可行，培训方案安排科学合理、可操作性强；</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第二个档次（</w:t>
            </w:r>
            <w:r>
              <w:rPr>
                <w:rFonts w:hint="eastAsia" w:ascii="华文楷体" w:hAnsi="华文楷体" w:eastAsia="华文楷体" w:cs="华文楷体"/>
                <w:sz w:val="21"/>
                <w:szCs w:val="21"/>
                <w:lang w:val="en-US" w:eastAsia="zh-CN"/>
              </w:rPr>
              <w:t>7</w:t>
            </w:r>
            <w:r>
              <w:rPr>
                <w:rFonts w:hint="eastAsia" w:ascii="华文楷体" w:hAnsi="华文楷体" w:eastAsia="华文楷体" w:cs="华文楷体"/>
                <w:sz w:val="21"/>
                <w:szCs w:val="21"/>
              </w:rPr>
              <w:t>～</w:t>
            </w:r>
            <w:r>
              <w:rPr>
                <w:rFonts w:hint="eastAsia" w:ascii="华文楷体" w:hAnsi="华文楷体" w:eastAsia="华文楷体" w:cs="华文楷体"/>
                <w:sz w:val="21"/>
                <w:szCs w:val="21"/>
                <w:lang w:val="en-US" w:eastAsia="zh-CN"/>
              </w:rPr>
              <w:t>13</w:t>
            </w:r>
            <w:r>
              <w:rPr>
                <w:rFonts w:hint="eastAsia" w:ascii="华文楷体" w:hAnsi="华文楷体" w:eastAsia="华文楷体" w:cs="华文楷体"/>
                <w:sz w:val="21"/>
                <w:szCs w:val="21"/>
              </w:rPr>
              <w:t>分）：技术服务方案可行，培训方案安排可行，有一定的针对性；</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第三个档次（1～</w:t>
            </w:r>
            <w:r>
              <w:rPr>
                <w:rFonts w:hint="eastAsia" w:ascii="华文楷体" w:hAnsi="华文楷体" w:eastAsia="华文楷体" w:cs="华文楷体"/>
                <w:sz w:val="21"/>
                <w:szCs w:val="21"/>
                <w:lang w:val="en-US" w:eastAsia="zh-CN"/>
              </w:rPr>
              <w:t>6</w:t>
            </w:r>
            <w:r>
              <w:rPr>
                <w:rFonts w:hint="eastAsia" w:ascii="华文楷体" w:hAnsi="华文楷体" w:eastAsia="华文楷体" w:cs="华文楷体"/>
                <w:sz w:val="21"/>
                <w:szCs w:val="21"/>
              </w:rPr>
              <w:t>分）：技术服务方案有明显瑕疵，，培训方案安排有瑕疵；</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lang w:val="en-US" w:eastAsia="zh-CN"/>
              </w:rPr>
              <w:t>4</w:t>
            </w:r>
            <w:r>
              <w:rPr>
                <w:rFonts w:hint="eastAsia" w:ascii="华文楷体" w:hAnsi="华文楷体" w:eastAsia="华文楷体" w:cs="华文楷体"/>
                <w:b/>
                <w:bCs/>
                <w:sz w:val="21"/>
                <w:szCs w:val="21"/>
              </w:rPr>
              <w:t>）业绩（满分3分）</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华文楷体" w:hAnsi="华文楷体" w:eastAsia="华文楷体" w:cs="华文楷体"/>
                <w:sz w:val="21"/>
                <w:szCs w:val="21"/>
              </w:rPr>
            </w:pPr>
            <w:r>
              <w:rPr>
                <w:rFonts w:hint="eastAsia" w:ascii="华文楷体" w:hAnsi="华文楷体" w:eastAsia="华文楷体" w:cs="华文楷体"/>
                <w:sz w:val="21"/>
                <w:szCs w:val="21"/>
              </w:rPr>
              <w:t>近三年（2019年至今）类似</w:t>
            </w:r>
            <w:r>
              <w:rPr>
                <w:rFonts w:hint="eastAsia" w:ascii="华文楷体" w:hAnsi="华文楷体" w:eastAsia="华文楷体" w:cs="华文楷体"/>
                <w:sz w:val="21"/>
                <w:szCs w:val="21"/>
                <w:lang w:eastAsia="zh-CN"/>
              </w:rPr>
              <w:t>产品</w:t>
            </w:r>
            <w:r>
              <w:rPr>
                <w:rFonts w:hint="eastAsia" w:ascii="华文楷体" w:hAnsi="华文楷体" w:eastAsia="华文楷体" w:cs="华文楷体"/>
                <w:sz w:val="21"/>
                <w:szCs w:val="21"/>
              </w:rPr>
              <w:t>业绩证明文件（证明材料为有效合同或中标通知书扫描件）注：业绩的有效时间以合同签订时间为准，提供一项得1分，增加一项，加1分，加满为止。</w:t>
            </w:r>
          </w:p>
        </w:tc>
      </w:tr>
    </w:tbl>
    <w:p>
      <w:pPr>
        <w:pStyle w:val="3"/>
        <w:bidi w:val="0"/>
        <w:outlineLvl w:val="1"/>
        <w:rPr>
          <w:rFonts w:hint="eastAsia" w:ascii="华文楷体" w:hAnsi="华文楷体" w:eastAsia="华文楷体" w:cs="华文楷体"/>
          <w:b/>
          <w:sz w:val="24"/>
          <w:szCs w:val="24"/>
          <w:lang w:val="en-US" w:eastAsia="zh-CN"/>
        </w:rPr>
      </w:pPr>
      <w:bookmarkStart w:id="21" w:name="_Toc13528"/>
      <w:r>
        <w:rPr>
          <w:rFonts w:hint="eastAsia" w:ascii="华文楷体" w:hAnsi="华文楷体" w:eastAsia="华文楷体" w:cs="华文楷体"/>
          <w:b/>
          <w:sz w:val="24"/>
          <w:szCs w:val="24"/>
          <w:lang w:val="en-US" w:eastAsia="zh-CN"/>
        </w:rPr>
        <w:t>一、评标方法</w:t>
      </w:r>
      <w:bookmarkEnd w:id="2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华文楷体" w:hAnsi="华文楷体" w:eastAsia="华文楷体" w:cs="华文楷体"/>
          <w:b/>
          <w:bCs/>
          <w:sz w:val="24"/>
          <w:szCs w:val="24"/>
          <w:lang w:val="en-US" w:eastAsia="zh-CN"/>
        </w:rPr>
      </w:pPr>
      <w:r>
        <w:rPr>
          <w:rFonts w:hint="default" w:ascii="华文楷体" w:hAnsi="华文楷体" w:eastAsia="华文楷体" w:cs="华文楷体"/>
          <w:b/>
          <w:bCs/>
          <w:sz w:val="24"/>
          <w:szCs w:val="24"/>
          <w:lang w:val="en-US" w:eastAsia="zh-CN"/>
        </w:rPr>
        <w:t>评标委员会对满足招标文件全部实质性要求（即通过资格性评审及符合性评审）的投标文件，按照本章前附表规定的评分标准进行打分，并按评标总得分计算公式计算评标总得分，按总得分由高到低的顺序推荐中标候选人；得分相同的，按投标报价由低到高顺序推荐;评标总得分及投标报价相等时，评标委员会将依次按技术部分得分高优先、商务部分得分高优先的顺序推荐；所有得分均相等</w:t>
      </w:r>
      <w:r>
        <w:rPr>
          <w:rFonts w:hint="eastAsia" w:ascii="华文楷体" w:hAnsi="华文楷体" w:eastAsia="华文楷体" w:cs="华文楷体"/>
          <w:b/>
          <w:bCs/>
          <w:sz w:val="24"/>
          <w:szCs w:val="24"/>
          <w:lang w:val="en-US" w:eastAsia="zh-CN"/>
        </w:rPr>
        <w:t>的</w:t>
      </w:r>
      <w:r>
        <w:rPr>
          <w:rFonts w:hint="default" w:ascii="华文楷体" w:hAnsi="华文楷体" w:eastAsia="华文楷体" w:cs="华文楷体"/>
          <w:b/>
          <w:bCs/>
          <w:sz w:val="24"/>
          <w:szCs w:val="24"/>
          <w:lang w:val="en-US" w:eastAsia="zh-CN"/>
        </w:rPr>
        <w:t>，按主要技术指标高优先、质保期长优先、交货时间短优先、故障到达时间短优先的顺序推荐中标候选人。</w:t>
      </w:r>
    </w:p>
    <w:p>
      <w:pPr>
        <w:pStyle w:val="3"/>
        <w:bidi w:val="0"/>
        <w:outlineLvl w:val="1"/>
        <w:rPr>
          <w:rFonts w:hint="default" w:ascii="华文楷体" w:hAnsi="华文楷体" w:eastAsia="华文楷体" w:cs="华文楷体"/>
          <w:b/>
          <w:sz w:val="24"/>
          <w:szCs w:val="24"/>
          <w:lang w:val="en-US" w:eastAsia="zh-CN"/>
        </w:rPr>
      </w:pPr>
      <w:bookmarkStart w:id="22" w:name="_Toc7190"/>
      <w:r>
        <w:rPr>
          <w:rFonts w:hint="eastAsia" w:ascii="华文楷体" w:hAnsi="华文楷体" w:eastAsia="华文楷体" w:cs="华文楷体"/>
          <w:b/>
          <w:sz w:val="24"/>
          <w:szCs w:val="24"/>
          <w:lang w:val="en-US" w:eastAsia="zh-CN"/>
        </w:rPr>
        <w:t>二、</w:t>
      </w:r>
      <w:r>
        <w:rPr>
          <w:rFonts w:hint="default" w:ascii="华文楷体" w:hAnsi="华文楷体" w:eastAsia="华文楷体" w:cs="华文楷体"/>
          <w:b/>
          <w:sz w:val="24"/>
          <w:szCs w:val="24"/>
          <w:lang w:val="en-US" w:eastAsia="zh-CN"/>
        </w:rPr>
        <w:t>评标程序及标准</w:t>
      </w:r>
      <w:bookmarkEnd w:id="2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2"/>
        <w:rPr>
          <w:rFonts w:hint="default" w:ascii="华文楷体" w:hAnsi="华文楷体" w:eastAsia="华文楷体" w:cs="华文楷体"/>
          <w:b w:val="0"/>
          <w:bCs w:val="0"/>
          <w:sz w:val="24"/>
          <w:szCs w:val="24"/>
          <w:lang w:val="en-US" w:eastAsia="zh-CN"/>
        </w:rPr>
      </w:pPr>
      <w:bookmarkStart w:id="23" w:name="_Toc30182"/>
      <w:r>
        <w:rPr>
          <w:rFonts w:hint="eastAsia" w:ascii="华文楷体" w:hAnsi="华文楷体" w:eastAsia="华文楷体" w:cs="华文楷体"/>
          <w:b w:val="0"/>
          <w:bCs w:val="0"/>
          <w:sz w:val="24"/>
          <w:szCs w:val="24"/>
          <w:lang w:val="en-US" w:eastAsia="zh-CN"/>
        </w:rPr>
        <w:t>2</w:t>
      </w:r>
      <w:r>
        <w:rPr>
          <w:rFonts w:hint="default" w:ascii="华文楷体" w:hAnsi="华文楷体" w:eastAsia="华文楷体" w:cs="华文楷体"/>
          <w:b w:val="0"/>
          <w:bCs w:val="0"/>
          <w:sz w:val="24"/>
          <w:szCs w:val="24"/>
          <w:lang w:val="en-US" w:eastAsia="zh-CN"/>
        </w:rPr>
        <w:t>.1符合性评审</w:t>
      </w:r>
      <w:bookmarkEnd w:id="2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华文楷体" w:hAnsi="华文楷体" w:eastAsia="华文楷体" w:cs="华文楷体"/>
          <w:b w:val="0"/>
          <w:bCs w:val="0"/>
          <w:sz w:val="24"/>
          <w:szCs w:val="24"/>
          <w:lang w:val="en-US" w:eastAsia="zh-CN"/>
        </w:rPr>
      </w:pPr>
      <w:r>
        <w:rPr>
          <w:rFonts w:hint="default" w:ascii="华文楷体" w:hAnsi="华文楷体" w:eastAsia="华文楷体" w:cs="华文楷体"/>
          <w:b w:val="0"/>
          <w:bCs w:val="0"/>
          <w:sz w:val="24"/>
          <w:szCs w:val="24"/>
          <w:lang w:val="en-US" w:eastAsia="zh-CN"/>
        </w:rPr>
        <w:t>依据招标文件的规定，评标委员会对符合资格的投标人的投标文件从有效性、完整性和对招标文件的实质性响应程度等方面进行审查，见评标方法前附表。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2"/>
        <w:rPr>
          <w:rFonts w:hint="default" w:ascii="华文楷体" w:hAnsi="华文楷体" w:eastAsia="华文楷体" w:cs="华文楷体"/>
          <w:b w:val="0"/>
          <w:bCs w:val="0"/>
          <w:sz w:val="24"/>
          <w:szCs w:val="24"/>
          <w:lang w:val="en-US" w:eastAsia="zh-CN"/>
        </w:rPr>
      </w:pPr>
      <w:bookmarkStart w:id="24" w:name="_Toc14345"/>
      <w:r>
        <w:rPr>
          <w:rFonts w:hint="eastAsia" w:ascii="华文楷体" w:hAnsi="华文楷体" w:eastAsia="华文楷体" w:cs="华文楷体"/>
          <w:b w:val="0"/>
          <w:bCs w:val="0"/>
          <w:sz w:val="24"/>
          <w:szCs w:val="24"/>
          <w:lang w:val="en-US" w:eastAsia="zh-CN"/>
        </w:rPr>
        <w:t>2</w:t>
      </w:r>
      <w:r>
        <w:rPr>
          <w:rFonts w:hint="default" w:ascii="华文楷体" w:hAnsi="华文楷体" w:eastAsia="华文楷体" w:cs="华文楷体"/>
          <w:b w:val="0"/>
          <w:bCs w:val="0"/>
          <w:sz w:val="24"/>
          <w:szCs w:val="24"/>
          <w:lang w:val="en-US" w:eastAsia="zh-CN"/>
        </w:rPr>
        <w:t>.2详细评审</w:t>
      </w:r>
      <w:bookmarkEnd w:id="2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2</w:t>
      </w:r>
      <w:r>
        <w:rPr>
          <w:rFonts w:hint="default" w:ascii="华文楷体" w:hAnsi="华文楷体" w:eastAsia="华文楷体" w:cs="华文楷体"/>
          <w:b w:val="0"/>
          <w:bCs w:val="0"/>
          <w:sz w:val="24"/>
          <w:szCs w:val="24"/>
          <w:lang w:val="en-US" w:eastAsia="zh-CN"/>
        </w:rPr>
        <w:t>.2.1评标委员会按照招标文件中规定的评标方法和标准，对符合性审查合格的投标文件进行商务和技术评估，综合比较与评价, 见评标方法前附表。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2</w:t>
      </w:r>
      <w:r>
        <w:rPr>
          <w:rFonts w:hint="default" w:ascii="华文楷体" w:hAnsi="华文楷体" w:eastAsia="华文楷体" w:cs="华文楷体"/>
          <w:b w:val="0"/>
          <w:bCs w:val="0"/>
          <w:sz w:val="24"/>
          <w:szCs w:val="24"/>
          <w:lang w:val="en-US" w:eastAsia="zh-CN"/>
        </w:rPr>
        <w:t>.2.2评标委员会各成员要依法独立评审，并对评审意见承担个人责任。对投标人的客观评分项的评分应当一致，对其他需要借助专业知识评判的主观评分项，应当严格按照评分细则公正评分。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2</w:t>
      </w:r>
      <w:r>
        <w:rPr>
          <w:rFonts w:hint="default" w:ascii="华文楷体" w:hAnsi="华文楷体" w:eastAsia="华文楷体" w:cs="华文楷体"/>
          <w:b w:val="0"/>
          <w:bCs w:val="0"/>
          <w:sz w:val="24"/>
          <w:szCs w:val="24"/>
          <w:lang w:val="en-US" w:eastAsia="zh-CN"/>
        </w:rPr>
        <w:t>.2.3评标委员会成员对需要共同认定的事项存在争议的，按照少数服从多数的原则做出结论。持不同意见的评标委员会成员应当在评标报告上签署不同意见并说明理由，否则视为同意。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2</w:t>
      </w:r>
      <w:r>
        <w:rPr>
          <w:rFonts w:hint="default" w:ascii="华文楷体" w:hAnsi="华文楷体" w:eastAsia="华文楷体" w:cs="华文楷体"/>
          <w:b w:val="0"/>
          <w:bCs w:val="0"/>
          <w:sz w:val="24"/>
          <w:szCs w:val="24"/>
          <w:lang w:val="en-US" w:eastAsia="zh-CN"/>
        </w:rPr>
        <w:t>.2.4投标文件报价出现前后不一致的，按照下列规定修正：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华文楷体" w:hAnsi="华文楷体" w:eastAsia="华文楷体" w:cs="华文楷体"/>
          <w:b w:val="0"/>
          <w:bCs w:val="0"/>
          <w:sz w:val="24"/>
          <w:szCs w:val="24"/>
          <w:lang w:val="en-US" w:eastAsia="zh-CN"/>
        </w:rPr>
      </w:pPr>
      <w:r>
        <w:rPr>
          <w:rFonts w:hint="default" w:ascii="华文楷体" w:hAnsi="华文楷体" w:eastAsia="华文楷体" w:cs="华文楷体"/>
          <w:b w:val="0"/>
          <w:bCs w:val="0"/>
          <w:sz w:val="24"/>
          <w:szCs w:val="24"/>
          <w:lang w:val="en-US" w:eastAsia="zh-CN"/>
        </w:rPr>
        <w:t>（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w:t>
      </w:r>
      <w:r>
        <w:rPr>
          <w:rFonts w:hint="eastAsia" w:ascii="华文楷体" w:hAnsi="华文楷体" w:eastAsia="华文楷体" w:cs="华文楷体"/>
          <w:b w:val="0"/>
          <w:bCs w:val="0"/>
          <w:sz w:val="24"/>
          <w:szCs w:val="24"/>
          <w:lang w:val="en-US" w:eastAsia="zh-CN"/>
        </w:rPr>
        <w:t>（</w:t>
      </w:r>
      <w:r>
        <w:rPr>
          <w:rFonts w:hint="default" w:ascii="华文楷体" w:hAnsi="华文楷体" w:eastAsia="华文楷体" w:cs="华文楷体"/>
          <w:b w:val="0"/>
          <w:bCs w:val="0"/>
          <w:sz w:val="24"/>
          <w:szCs w:val="24"/>
          <w:lang w:val="en-US" w:eastAsia="zh-CN"/>
        </w:rPr>
        <w:t>四）总价金额与按单价汇总金额不一致的，以单价金额计算结果为准。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华文楷体" w:hAnsi="华文楷体" w:eastAsia="华文楷体" w:cs="华文楷体"/>
          <w:b w:val="0"/>
          <w:bCs w:val="0"/>
          <w:sz w:val="24"/>
          <w:szCs w:val="24"/>
          <w:lang w:val="en-US" w:eastAsia="zh-CN"/>
        </w:rPr>
      </w:pPr>
      <w:r>
        <w:rPr>
          <w:rFonts w:hint="default" w:ascii="华文楷体" w:hAnsi="华文楷体" w:eastAsia="华文楷体" w:cs="华文楷体"/>
          <w:b/>
          <w:bCs/>
          <w:sz w:val="24"/>
          <w:szCs w:val="24"/>
          <w:lang w:val="en-US" w:eastAsia="zh-CN"/>
        </w:rPr>
        <w:t>所有计算结果均保留小数点后两位</w:t>
      </w:r>
      <w:r>
        <w:rPr>
          <w:rFonts w:hint="default" w:ascii="华文楷体" w:hAnsi="华文楷体" w:eastAsia="华文楷体" w:cs="华文楷体"/>
          <w:b w:val="0"/>
          <w:bCs w:val="0"/>
          <w:sz w:val="24"/>
          <w:szCs w:val="24"/>
          <w:lang w:val="en-US" w:eastAsia="zh-CN"/>
        </w:rPr>
        <w:t>，小数点后第三位“四舍五入”。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华文楷体" w:hAnsi="华文楷体" w:eastAsia="华文楷体" w:cs="华文楷体"/>
          <w:b w:val="0"/>
          <w:bCs w:val="0"/>
          <w:sz w:val="24"/>
          <w:szCs w:val="24"/>
          <w:lang w:val="en-US" w:eastAsia="zh-CN"/>
        </w:rPr>
      </w:pPr>
      <w:r>
        <w:rPr>
          <w:rFonts w:hint="default" w:ascii="华文楷体" w:hAnsi="华文楷体" w:eastAsia="华文楷体" w:cs="华文楷体"/>
          <w:b w:val="0"/>
          <w:bCs w:val="0"/>
          <w:sz w:val="24"/>
          <w:szCs w:val="24"/>
          <w:lang w:val="en-US" w:eastAsia="zh-CN"/>
        </w:rPr>
        <w:t>★</w:t>
      </w:r>
      <w:r>
        <w:rPr>
          <w:rFonts w:hint="eastAsia" w:ascii="华文楷体" w:hAnsi="华文楷体" w:eastAsia="华文楷体" w:cs="华文楷体"/>
          <w:b w:val="0"/>
          <w:bCs w:val="0"/>
          <w:sz w:val="24"/>
          <w:szCs w:val="24"/>
          <w:lang w:val="en-US" w:eastAsia="zh-CN"/>
        </w:rPr>
        <w:t>2</w:t>
      </w:r>
      <w:r>
        <w:rPr>
          <w:rFonts w:hint="default" w:ascii="华文楷体" w:hAnsi="华文楷体" w:eastAsia="华文楷体" w:cs="华文楷体"/>
          <w:b w:val="0"/>
          <w:bCs w:val="0"/>
          <w:sz w:val="24"/>
          <w:szCs w:val="24"/>
          <w:lang w:val="en-US" w:eastAsia="zh-CN"/>
        </w:rPr>
        <w:t>.2.</w:t>
      </w:r>
      <w:r>
        <w:rPr>
          <w:rFonts w:hint="eastAsia" w:ascii="华文楷体" w:hAnsi="华文楷体" w:eastAsia="华文楷体" w:cs="华文楷体"/>
          <w:b w:val="0"/>
          <w:bCs w:val="0"/>
          <w:sz w:val="24"/>
          <w:szCs w:val="24"/>
          <w:lang w:val="en-US" w:eastAsia="zh-CN"/>
        </w:rPr>
        <w:t>5</w:t>
      </w:r>
      <w:r>
        <w:rPr>
          <w:rFonts w:hint="default" w:ascii="华文楷体" w:hAnsi="华文楷体" w:eastAsia="华文楷体" w:cs="华文楷体"/>
          <w:b w:val="0"/>
          <w:bCs w:val="0"/>
          <w:sz w:val="24"/>
          <w:szCs w:val="24"/>
          <w:lang w:val="en-US"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
        <w:bidi w:val="0"/>
        <w:outlineLvl w:val="1"/>
        <w:rPr>
          <w:rFonts w:hint="default" w:ascii="华文楷体" w:hAnsi="华文楷体" w:eastAsia="华文楷体" w:cs="华文楷体"/>
          <w:b/>
          <w:sz w:val="24"/>
          <w:szCs w:val="24"/>
          <w:lang w:val="en-US" w:eastAsia="zh-CN"/>
        </w:rPr>
      </w:pPr>
      <w:bookmarkStart w:id="25" w:name="_Toc18522"/>
      <w:r>
        <w:rPr>
          <w:rFonts w:hint="eastAsia" w:ascii="华文楷体" w:hAnsi="华文楷体" w:eastAsia="华文楷体" w:cs="华文楷体"/>
          <w:b/>
          <w:sz w:val="24"/>
          <w:szCs w:val="24"/>
          <w:lang w:val="en-US" w:eastAsia="zh-CN"/>
        </w:rPr>
        <w:t>三、</w:t>
      </w:r>
      <w:r>
        <w:rPr>
          <w:rFonts w:hint="default" w:ascii="华文楷体" w:hAnsi="华文楷体" w:eastAsia="华文楷体" w:cs="华文楷体"/>
          <w:b/>
          <w:sz w:val="24"/>
          <w:szCs w:val="24"/>
          <w:lang w:val="en-US" w:eastAsia="zh-CN"/>
        </w:rPr>
        <w:t>投标文件的澄清</w:t>
      </w:r>
      <w:bookmarkEnd w:id="2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3</w:t>
      </w:r>
      <w:r>
        <w:rPr>
          <w:rFonts w:hint="default" w:ascii="华文楷体" w:hAnsi="华文楷体" w:eastAsia="华文楷体" w:cs="华文楷体"/>
          <w:b w:val="0"/>
          <w:bCs w:val="0"/>
          <w:sz w:val="24"/>
          <w:szCs w:val="24"/>
          <w:lang w:val="en-US" w:eastAsia="zh-CN"/>
        </w:rPr>
        <w:t>.1在评标过程中，评标委员会可以书面形式要求投标人对所提交的投标文件中含义不明确、同类问题表述不一致或者有明显文字和计算错误的内容，进行书面澄清或说明。评标委员会不接受投标人主动提出的澄清、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3</w:t>
      </w:r>
      <w:r>
        <w:rPr>
          <w:rFonts w:hint="default" w:ascii="华文楷体" w:hAnsi="华文楷体" w:eastAsia="华文楷体" w:cs="华文楷体"/>
          <w:b w:val="0"/>
          <w:bCs w:val="0"/>
          <w:sz w:val="24"/>
          <w:szCs w:val="24"/>
          <w:lang w:val="en-US" w:eastAsia="zh-CN"/>
        </w:rPr>
        <w:t>.2投标人的澄清、说明应当采用书面形式，由法定代表人或其授权的代表签字，澄清事项不得超出投标文件的范围并不得改变投标文件的实质性内容（算术性错误修正的除外）。投标人的书面澄清、说明属于投标文件的组成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华文楷体" w:hAnsi="华文楷体" w:eastAsia="华文楷体" w:cs="华文楷体"/>
          <w:b w:val="0"/>
          <w:bCs w:val="0"/>
          <w:sz w:val="24"/>
          <w:szCs w:val="24"/>
          <w:lang w:val="en-US" w:eastAsia="zh-CN"/>
        </w:rPr>
      </w:pPr>
      <w:r>
        <w:rPr>
          <w:rFonts w:hint="eastAsia" w:ascii="华文楷体" w:hAnsi="华文楷体" w:eastAsia="华文楷体" w:cs="华文楷体"/>
          <w:b w:val="0"/>
          <w:bCs w:val="0"/>
          <w:sz w:val="24"/>
          <w:szCs w:val="24"/>
          <w:lang w:val="en-US" w:eastAsia="zh-CN"/>
        </w:rPr>
        <w:t>3</w:t>
      </w:r>
      <w:r>
        <w:rPr>
          <w:rFonts w:hint="default" w:ascii="华文楷体" w:hAnsi="华文楷体" w:eastAsia="华文楷体" w:cs="华文楷体"/>
          <w:b w:val="0"/>
          <w:bCs w:val="0"/>
          <w:sz w:val="24"/>
          <w:szCs w:val="24"/>
          <w:lang w:val="en-US" w:eastAsia="zh-CN"/>
        </w:rPr>
        <w:t>.3评标委员会对投标人提交的澄清</w:t>
      </w:r>
      <w:bookmarkStart w:id="27" w:name="_GoBack"/>
      <w:bookmarkEnd w:id="27"/>
      <w:r>
        <w:rPr>
          <w:rFonts w:hint="default" w:ascii="华文楷体" w:hAnsi="华文楷体" w:eastAsia="华文楷体" w:cs="华文楷体"/>
          <w:b w:val="0"/>
          <w:bCs w:val="0"/>
          <w:sz w:val="24"/>
          <w:szCs w:val="24"/>
          <w:lang w:val="en-US" w:eastAsia="zh-CN"/>
        </w:rPr>
        <w:t>、说明有疑问的，可以要求投标人进一步澄清、说明。</w:t>
      </w:r>
    </w:p>
    <w:p>
      <w:pPr>
        <w:pStyle w:val="3"/>
        <w:bidi w:val="0"/>
        <w:outlineLvl w:val="1"/>
        <w:rPr>
          <w:rFonts w:hint="default" w:ascii="华文楷体" w:hAnsi="华文楷体" w:eastAsia="华文楷体" w:cs="华文楷体"/>
          <w:b/>
          <w:sz w:val="24"/>
          <w:szCs w:val="24"/>
          <w:lang w:val="en-US" w:eastAsia="zh-CN"/>
        </w:rPr>
      </w:pPr>
      <w:bookmarkStart w:id="26" w:name="_Toc748"/>
      <w:r>
        <w:rPr>
          <w:rFonts w:hint="eastAsia" w:ascii="华文楷体" w:hAnsi="华文楷体" w:eastAsia="华文楷体" w:cs="华文楷体"/>
          <w:b/>
          <w:sz w:val="24"/>
          <w:szCs w:val="24"/>
          <w:lang w:val="en-US" w:eastAsia="zh-CN"/>
        </w:rPr>
        <w:t>四、</w:t>
      </w:r>
      <w:r>
        <w:rPr>
          <w:rFonts w:hint="default" w:ascii="华文楷体" w:hAnsi="华文楷体" w:eastAsia="华文楷体" w:cs="华文楷体"/>
          <w:b/>
          <w:sz w:val="24"/>
          <w:szCs w:val="24"/>
          <w:lang w:val="en-US" w:eastAsia="zh-CN"/>
        </w:rPr>
        <w:t>评标结果</w:t>
      </w:r>
      <w:bookmarkEnd w:id="26"/>
    </w:p>
    <w:p>
      <w:pPr>
        <w:widowControl w:val="0"/>
        <w:numPr>
          <w:ilvl w:val="0"/>
          <w:numId w:val="0"/>
        </w:numPr>
        <w:spacing w:line="360" w:lineRule="auto"/>
        <w:jc w:val="both"/>
        <w:rPr>
          <w:rFonts w:hint="default" w:ascii="华文楷体" w:hAnsi="华文楷体" w:eastAsia="华文楷体" w:cs="华文楷体"/>
          <w:b w:val="0"/>
          <w:bCs w:val="0"/>
          <w:sz w:val="24"/>
          <w:szCs w:val="24"/>
          <w:lang w:val="en-US" w:eastAsia="zh-CN"/>
        </w:rPr>
      </w:pPr>
      <w:r>
        <w:rPr>
          <w:rFonts w:hint="default" w:ascii="华文楷体" w:hAnsi="华文楷体" w:eastAsia="华文楷体" w:cs="华文楷体"/>
          <w:b w:val="0"/>
          <w:bCs w:val="0"/>
          <w:sz w:val="24"/>
          <w:szCs w:val="24"/>
          <w:lang w:val="en-US" w:eastAsia="zh-CN"/>
        </w:rPr>
        <w:t>评标委员会按最终得分由高到低顺序推荐</w:t>
      </w:r>
      <w:r>
        <w:rPr>
          <w:rFonts w:hint="eastAsia" w:ascii="华文楷体" w:hAnsi="华文楷体" w:eastAsia="华文楷体" w:cs="华文楷体"/>
          <w:b w:val="0"/>
          <w:bCs w:val="0"/>
          <w:sz w:val="24"/>
          <w:szCs w:val="24"/>
          <w:lang w:val="en-US" w:eastAsia="zh-CN"/>
        </w:rPr>
        <w:t>1</w:t>
      </w:r>
      <w:r>
        <w:rPr>
          <w:rFonts w:hint="default" w:ascii="华文楷体" w:hAnsi="华文楷体" w:eastAsia="华文楷体" w:cs="华文楷体"/>
          <w:b w:val="0"/>
          <w:bCs w:val="0"/>
          <w:sz w:val="24"/>
          <w:szCs w:val="24"/>
          <w:lang w:val="en-US" w:eastAsia="zh-CN"/>
        </w:rPr>
        <w:t>名中标候选人。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D23A1"/>
    <w:rsid w:val="05CB2422"/>
    <w:rsid w:val="068F4112"/>
    <w:rsid w:val="09042ECC"/>
    <w:rsid w:val="0C1338DB"/>
    <w:rsid w:val="0D734E63"/>
    <w:rsid w:val="0E643415"/>
    <w:rsid w:val="0E855FC4"/>
    <w:rsid w:val="0F9E7AAB"/>
    <w:rsid w:val="0FA5199F"/>
    <w:rsid w:val="12D83014"/>
    <w:rsid w:val="13697223"/>
    <w:rsid w:val="13AC2993"/>
    <w:rsid w:val="14365D9D"/>
    <w:rsid w:val="144F2FB5"/>
    <w:rsid w:val="15EA738E"/>
    <w:rsid w:val="17621B1C"/>
    <w:rsid w:val="17990AC3"/>
    <w:rsid w:val="185B4CFD"/>
    <w:rsid w:val="1AEB4C02"/>
    <w:rsid w:val="1CD12633"/>
    <w:rsid w:val="1DAC0F64"/>
    <w:rsid w:val="2252000B"/>
    <w:rsid w:val="23E11C32"/>
    <w:rsid w:val="25ED45CC"/>
    <w:rsid w:val="29DB6845"/>
    <w:rsid w:val="2A601E62"/>
    <w:rsid w:val="2ADE7ED4"/>
    <w:rsid w:val="2AF20BB1"/>
    <w:rsid w:val="2C0B4C88"/>
    <w:rsid w:val="2E335F99"/>
    <w:rsid w:val="31261223"/>
    <w:rsid w:val="31871B4D"/>
    <w:rsid w:val="31ED5FEB"/>
    <w:rsid w:val="32110677"/>
    <w:rsid w:val="32291EC6"/>
    <w:rsid w:val="323B3CAF"/>
    <w:rsid w:val="3257620E"/>
    <w:rsid w:val="327B0B4B"/>
    <w:rsid w:val="344528F5"/>
    <w:rsid w:val="35211D9B"/>
    <w:rsid w:val="371500A9"/>
    <w:rsid w:val="39DE67D4"/>
    <w:rsid w:val="3C577B69"/>
    <w:rsid w:val="3C8E29D2"/>
    <w:rsid w:val="3D5974B2"/>
    <w:rsid w:val="3E461AAC"/>
    <w:rsid w:val="3EB23D9E"/>
    <w:rsid w:val="41125031"/>
    <w:rsid w:val="41634E9A"/>
    <w:rsid w:val="43807971"/>
    <w:rsid w:val="44B925B3"/>
    <w:rsid w:val="451352A6"/>
    <w:rsid w:val="491606A8"/>
    <w:rsid w:val="492B27BE"/>
    <w:rsid w:val="49522850"/>
    <w:rsid w:val="4BA47EEA"/>
    <w:rsid w:val="4BBB0C9C"/>
    <w:rsid w:val="4C475CD3"/>
    <w:rsid w:val="4C745061"/>
    <w:rsid w:val="4FEF2F8E"/>
    <w:rsid w:val="500B3C3D"/>
    <w:rsid w:val="50AD62CB"/>
    <w:rsid w:val="52330126"/>
    <w:rsid w:val="528D7BAD"/>
    <w:rsid w:val="54E62EC5"/>
    <w:rsid w:val="5509232A"/>
    <w:rsid w:val="56A42CC7"/>
    <w:rsid w:val="579348A0"/>
    <w:rsid w:val="5AB407E7"/>
    <w:rsid w:val="5B0C6EC7"/>
    <w:rsid w:val="5D45372C"/>
    <w:rsid w:val="5D956ADA"/>
    <w:rsid w:val="5F833E6F"/>
    <w:rsid w:val="5FAE3A14"/>
    <w:rsid w:val="600A22E9"/>
    <w:rsid w:val="61DD16C6"/>
    <w:rsid w:val="6379145E"/>
    <w:rsid w:val="660C7F1F"/>
    <w:rsid w:val="67710F5B"/>
    <w:rsid w:val="688370C4"/>
    <w:rsid w:val="68C71A5D"/>
    <w:rsid w:val="68ED23A1"/>
    <w:rsid w:val="698B7E77"/>
    <w:rsid w:val="6B4E599E"/>
    <w:rsid w:val="6CDC45D7"/>
    <w:rsid w:val="6CE81170"/>
    <w:rsid w:val="6CEF4F0F"/>
    <w:rsid w:val="7006779F"/>
    <w:rsid w:val="70AA7461"/>
    <w:rsid w:val="70F62E47"/>
    <w:rsid w:val="71D359E0"/>
    <w:rsid w:val="7334527D"/>
    <w:rsid w:val="73A537A6"/>
    <w:rsid w:val="74165DE6"/>
    <w:rsid w:val="74172592"/>
    <w:rsid w:val="761A0506"/>
    <w:rsid w:val="79FD69F6"/>
    <w:rsid w:val="7EFE5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qFormat/>
    <w:uiPriority w:val="0"/>
    <w:pPr>
      <w:widowControl w:val="0"/>
      <w:spacing w:after="120"/>
      <w:jc w:val="both"/>
    </w:pPr>
    <w:rPr>
      <w:rFonts w:ascii="Calibri" w:hAnsi="Calibri" w:eastAsia="宋体" w:cs="Times New Roman"/>
      <w:kern w:val="2"/>
      <w:sz w:val="21"/>
      <w:szCs w:val="24"/>
      <w:lang w:val="zh-CN" w:eastAsia="zh-CN" w:bidi="ar-SA"/>
    </w:rPr>
  </w:style>
  <w:style w:type="paragraph" w:styleId="5">
    <w:name w:val="toc 3"/>
    <w:basedOn w:val="1"/>
    <w:next w:val="1"/>
    <w:qFormat/>
    <w:uiPriority w:val="0"/>
    <w:pPr>
      <w:ind w:left="840" w:leftChars="400"/>
    </w:pPr>
  </w:style>
  <w:style w:type="paragraph" w:styleId="6">
    <w:name w:val="Plain Text"/>
    <w:qFormat/>
    <w:uiPriority w:val="0"/>
    <w:pPr>
      <w:widowControl w:val="0"/>
      <w:jc w:val="both"/>
    </w:pPr>
    <w:rPr>
      <w:rFonts w:ascii="宋体" w:hAnsi="Calibri" w:eastAsia="宋体" w:cs="Times New Roman"/>
      <w:kern w:val="2"/>
      <w:sz w:val="21"/>
      <w:szCs w:val="20"/>
      <w:lang w:val="en-US" w:eastAsia="zh-CN" w:bidi="ar-SA"/>
    </w:rPr>
  </w:style>
  <w:style w:type="paragraph" w:styleId="7">
    <w:name w:val="toc 2"/>
    <w:basedOn w:val="1"/>
    <w:next w:val="1"/>
    <w:qFormat/>
    <w:uiPriority w:val="0"/>
    <w:pPr>
      <w:ind w:left="420" w:leftChars="200"/>
    </w:pPr>
  </w:style>
  <w:style w:type="paragraph" w:customStyle="1" w:styleId="10">
    <w:name w:val="WPSOffice手动目录 2"/>
    <w:qFormat/>
    <w:uiPriority w:val="0"/>
    <w:pPr>
      <w:ind w:leftChars="200"/>
    </w:pPr>
    <w:rPr>
      <w:rFonts w:asciiTheme="minorHAnsi" w:hAnsiTheme="minorHAnsi" w:eastAsiaTheme="minorEastAsia" w:cstheme="minorBidi"/>
      <w:sz w:val="20"/>
      <w:szCs w:val="20"/>
    </w:rPr>
  </w:style>
  <w:style w:type="paragraph" w:customStyle="1" w:styleId="11">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2021-12-20T00:24:00Z</dcterms:created>
  <dc:creator>123</dc:creator>
  <cp:lastModifiedBy>c</cp:lastModifiedBy>
  <dcterms:modified xsi:type="dcterms:W3CDTF">2022-05-17T02:18:01Z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C3D0D078897E405092CE59B134E720DF</vt:lpwstr>
  </property>
</Properties>
</file>