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。请各位响应人须按表格样式，提交U盘拷贝Excel电子版报价明细一份。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昆明医科大学口罩集中带量</w:t>
      </w:r>
      <w:bookmarkStart w:id="0" w:name="_GoBack"/>
      <w:bookmarkEnd w:id="0"/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eastAsia="zh-CN"/>
        </w:rPr>
        <w:t>采购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53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25"/>
        <w:gridCol w:w="3250"/>
        <w:gridCol w:w="1152"/>
        <w:gridCol w:w="736"/>
        <w:gridCol w:w="1118"/>
        <w:gridCol w:w="1118"/>
        <w:gridCol w:w="941"/>
        <w:gridCol w:w="1146"/>
        <w:gridCol w:w="982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1073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添加剂/附加物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最高限价（元）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4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血清分离管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无添加剂、无附加物 红色（螺纹帽/普通帽）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根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04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促凝剂、无附加物 红色（螺纹帽/普通帽）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根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04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促凝剂、分离胶 金黄色（螺纹帽/普通帽）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根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0.55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04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急诊生化管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肝素锂、无附加物 绿色（螺纹帽/普通帽）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根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04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无任何添加剂白管（螺纹口帽）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根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04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EDTA 二钾盐 紫色（螺纹帽/普通帽）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根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凝血功能检测管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柠檬酸钠9:1 浅蓝色（螺纹帽/普通帽）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根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血沉管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柠檬酸钠4:1 黑色（螺纹帽/普通帽）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根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血糖管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1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氟化物/草酸盐 灰色（螺纹帽/普通帽）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根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default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加权报价（依据采购文件计算）：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最终加权报价：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全国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格式进行报价，不得随意改动。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参数要求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：1.每个品规至少能提供13*75mm，13*100mm，血沉管（8*120mm，13*75mm）两种规格；2.采血管帽：能提供螺旋帽和普通帽采血管；3.PET材质；4.采血管管壁厚度≥0.9mm；5.所有产品均需提供灭菌管；6.血凝管（柠檬酸纳，蓝头管）为双层管；7.黄头管使用进口分离胶（提供证明材料）；8.可依用户所在地海拔提供相应的专用管；9.黄头管（带分离胶和促凝剂管）室温条件下，以3500—4000转/分，离心12分钟，可形成清晰的血清层、分离胶层、血球层，血清层表面无漂浮物；10.灭菌方式不做特殊要求；11.不限制标签为透明标签；12.执行标准：YY0314-2007和WS/T224-2018。</w:t>
      </w:r>
    </w:p>
    <w:p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F4621D"/>
    <w:rsid w:val="618B6BAA"/>
    <w:rsid w:val="627666FF"/>
    <w:rsid w:val="62AE386F"/>
    <w:rsid w:val="62D503F7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307</Characters>
  <Lines>16</Lines>
  <Paragraphs>4</Paragraphs>
  <TotalTime>0</TotalTime>
  <ScaleCrop>false</ScaleCrop>
  <LinksUpToDate>false</LinksUpToDate>
  <CharactersWithSpaces>460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2022-08-29T09:20:49Z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9779DDB700A84138A45D66CE9E8B5FA3</vt:lpwstr>
  </property>
</Properties>
</file>