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楷体" w:hAnsi="华文楷体" w:eastAsia="华文楷体" w:cs="华文楷体"/>
          <w:sz w:val="44"/>
          <w:szCs w:val="44"/>
          <w:lang w:val="en-US" w:eastAsia="zh-CN"/>
        </w:rPr>
      </w:pPr>
      <w:r>
        <w:rPr>
          <w:rFonts w:hint="eastAsia" w:ascii="华文楷体" w:hAnsi="华文楷体" w:eastAsia="华文楷体" w:cs="华文楷体"/>
          <w:sz w:val="44"/>
          <w:szCs w:val="44"/>
        </w:rPr>
        <w:t>昆明医科大学</w:t>
      </w:r>
      <w:r>
        <w:rPr>
          <w:rFonts w:hint="eastAsia" w:ascii="华文楷体" w:hAnsi="华文楷体" w:eastAsia="华文楷体" w:cs="华文楷体"/>
          <w:sz w:val="44"/>
          <w:szCs w:val="44"/>
          <w:lang w:val="en-US" w:eastAsia="zh-CN"/>
        </w:rPr>
        <w:t>第二附属医院</w:t>
      </w:r>
    </w:p>
    <w:p>
      <w:pPr>
        <w:jc w:val="center"/>
        <w:rPr>
          <w:rFonts w:ascii="华文楷体" w:hAnsi="华文楷体" w:eastAsia="华文楷体" w:cs="华文楷体"/>
          <w:sz w:val="44"/>
          <w:szCs w:val="44"/>
        </w:rPr>
      </w:pP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u w:val="single"/>
          <w:lang w:val="en-US" w:eastAsia="zh-CN"/>
        </w:rPr>
        <w:t>注射器</w:t>
      </w: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rPr>
        <w:t>采购项目</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ascii="华文楷体" w:hAnsi="华文楷体" w:eastAsia="华文楷体" w:cs="华文楷体"/>
          <w:sz w:val="44"/>
          <w:szCs w:val="44"/>
          <w:u w:val="single"/>
        </w:rPr>
      </w:pPr>
      <w:r>
        <w:rPr>
          <w:rFonts w:hint="eastAsia" w:ascii="华文楷体" w:hAnsi="华文楷体" w:eastAsia="华文楷体" w:cs="华文楷体"/>
          <w:sz w:val="44"/>
          <w:szCs w:val="44"/>
          <w:lang w:val="en-US" w:eastAsia="zh-CN"/>
        </w:rPr>
        <w:t>采 购</w:t>
      </w:r>
      <w:r>
        <w:rPr>
          <w:rFonts w:hint="eastAsia" w:ascii="华文楷体" w:hAnsi="华文楷体" w:eastAsia="华文楷体" w:cs="华文楷体"/>
          <w:sz w:val="44"/>
          <w:szCs w:val="44"/>
        </w:rPr>
        <w:t xml:space="preserve"> 文 件</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采购人：昆明医科大学</w:t>
      </w:r>
      <w:r>
        <w:rPr>
          <w:rFonts w:hint="eastAsia" w:ascii="华文楷体" w:hAnsi="华文楷体" w:eastAsia="华文楷体" w:cs="华文楷体"/>
          <w:sz w:val="44"/>
          <w:szCs w:val="44"/>
          <w:lang w:val="en-US" w:eastAsia="zh-CN"/>
        </w:rPr>
        <w:t>第二附属医院</w:t>
      </w: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二0二二年</w:t>
      </w:r>
      <w:r>
        <w:rPr>
          <w:rFonts w:hint="eastAsia" w:ascii="华文楷体" w:hAnsi="华文楷体" w:eastAsia="华文楷体" w:cs="华文楷体"/>
          <w:sz w:val="44"/>
          <w:szCs w:val="44"/>
          <w:lang w:val="en-US" w:eastAsia="zh-CN"/>
        </w:rPr>
        <w:t>十二月</w:t>
      </w:r>
    </w:p>
    <w:p>
      <w:pPr>
        <w:rPr>
          <w:rFonts w:ascii="华文楷体" w:hAnsi="华文楷体" w:eastAsia="华文楷体" w:cs="华文楷体"/>
        </w:rPr>
      </w:pPr>
    </w:p>
    <w:p>
      <w:pPr>
        <w:rPr>
          <w:rFonts w:ascii="华文楷体" w:hAnsi="华文楷体" w:eastAsia="华文楷体" w:cs="华文楷体"/>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895"/>
        <w15:color w:val="DBDBDB"/>
        <w:docPartObj>
          <w:docPartGallery w:val="Table of Contents"/>
          <w:docPartUnique/>
        </w:docPartObj>
      </w:sdtPr>
      <w:sdtEndPr>
        <w:rPr>
          <w:rFonts w:ascii="方正楷体_GBK" w:hAnsi="方正楷体_GBK" w:eastAsia="方正楷体_GBK" w:cs="方正楷体_GBK"/>
          <w:b/>
          <w:kern w:val="2"/>
          <w:sz w:val="32"/>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rPr>
              <w:rFonts w:ascii="方正楷体_GBK" w:hAnsi="方正楷体_GBK" w:eastAsia="方正楷体_GBK" w:cs="方正楷体_GBK"/>
              <w:sz w:val="28"/>
              <w:szCs w:val="22"/>
            </w:rPr>
            <w:fldChar w:fldCharType="begin"/>
          </w:r>
          <w:r>
            <w:rPr>
              <w:rFonts w:ascii="方正楷体_GBK" w:hAnsi="方正楷体_GBK" w:eastAsia="方正楷体_GBK" w:cs="方正楷体_GBK"/>
              <w:sz w:val="28"/>
              <w:szCs w:val="22"/>
            </w:rPr>
            <w:instrText xml:space="preserve">TOC \o "1-2" \h \u </w:instrText>
          </w:r>
          <w:r>
            <w:rPr>
              <w:rFonts w:ascii="方正楷体_GBK" w:hAnsi="方正楷体_GBK" w:eastAsia="方正楷体_GBK" w:cs="方正楷体_GBK"/>
              <w:sz w:val="28"/>
              <w:szCs w:val="22"/>
            </w:rPr>
            <w:fldChar w:fldCharType="separate"/>
          </w: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_Toc5265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第一章 </w:t>
          </w:r>
          <w:r>
            <w:rPr>
              <w:rFonts w:hint="eastAsia" w:ascii="方正楷体_GBK" w:hAnsi="方正楷体_GBK" w:eastAsia="方正楷体_GBK" w:cs="方正楷体_GBK"/>
              <w:szCs w:val="22"/>
              <w:lang w:val="en-US" w:eastAsia="zh-CN"/>
            </w:rPr>
            <w:t>采购</w:t>
          </w:r>
          <w:r>
            <w:rPr>
              <w:rFonts w:hint="eastAsia" w:ascii="方正楷体_GBK" w:hAnsi="方正楷体_GBK" w:eastAsia="方正楷体_GBK" w:cs="方正楷体_GBK"/>
              <w:szCs w:val="22"/>
            </w:rPr>
            <w:t>公告</w:t>
          </w:r>
          <w:r>
            <w:tab/>
          </w:r>
          <w:r>
            <w:fldChar w:fldCharType="begin"/>
          </w:r>
          <w:r>
            <w:instrText xml:space="preserve"> PAGEREF _Toc5265 \h </w:instrText>
          </w:r>
          <w:r>
            <w:fldChar w:fldCharType="separate"/>
          </w:r>
          <w:r>
            <w:t>3</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_Toc25376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第二章 </w:t>
          </w:r>
          <w:r>
            <w:rPr>
              <w:rFonts w:hint="eastAsia" w:ascii="方正楷体_GBK" w:hAnsi="方正楷体_GBK" w:eastAsia="方正楷体_GBK" w:cs="方正楷体_GBK"/>
              <w:szCs w:val="22"/>
              <w:lang w:val="en-US" w:eastAsia="zh-CN"/>
            </w:rPr>
            <w:t>响应</w:t>
          </w:r>
          <w:r>
            <w:rPr>
              <w:rFonts w:hint="eastAsia" w:ascii="方正楷体_GBK" w:hAnsi="方正楷体_GBK" w:eastAsia="方正楷体_GBK" w:cs="方正楷体_GBK"/>
              <w:szCs w:val="22"/>
            </w:rPr>
            <w:t>人须知</w:t>
          </w:r>
          <w:r>
            <w:tab/>
          </w:r>
          <w:r>
            <w:fldChar w:fldCharType="begin"/>
          </w:r>
          <w:r>
            <w:instrText xml:space="preserve"> PAGEREF _Toc25376 \h </w:instrText>
          </w:r>
          <w:r>
            <w:fldChar w:fldCharType="separate"/>
          </w:r>
          <w:r>
            <w:t>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_Toc11917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val="en-US" w:eastAsia="zh-CN"/>
            </w:rPr>
            <w:t>供应商资格要求</w:t>
          </w:r>
          <w:r>
            <w:rPr>
              <w:rFonts w:hint="eastAsia" w:ascii="华文楷体" w:hAnsi="华文楷体" w:eastAsia="华文楷体" w:cs="华文楷体"/>
            </w:rPr>
            <w:t>（见第一章“采购公告”）</w:t>
          </w:r>
          <w:r>
            <w:tab/>
          </w:r>
          <w:r>
            <w:fldChar w:fldCharType="begin"/>
          </w:r>
          <w:r>
            <w:instrText xml:space="preserve"> PAGEREF _Toc11917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_Toc9135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采购</w:t>
          </w:r>
          <w:r>
            <w:rPr>
              <w:rFonts w:hint="eastAsia" w:ascii="华文楷体" w:hAnsi="华文楷体" w:eastAsia="华文楷体" w:cs="华文楷体"/>
            </w:rPr>
            <w:t>文件</w:t>
          </w:r>
          <w:r>
            <w:tab/>
          </w:r>
          <w:r>
            <w:fldChar w:fldCharType="begin"/>
          </w:r>
          <w:r>
            <w:instrText xml:space="preserve"> PAGEREF _Toc9135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_Toc2042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hint="eastAsia" w:ascii="华文楷体" w:hAnsi="华文楷体" w:eastAsia="华文楷体" w:cs="华文楷体"/>
            </w:rPr>
            <w:t>文件</w:t>
          </w:r>
          <w:r>
            <w:tab/>
          </w:r>
          <w:r>
            <w:fldChar w:fldCharType="begin"/>
          </w:r>
          <w:r>
            <w:instrText xml:space="preserve"> PAGEREF _Toc2042 \h </w:instrText>
          </w:r>
          <w:r>
            <w:fldChar w:fldCharType="separate"/>
          </w:r>
          <w:r>
            <w:t>6</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_Toc29234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四、响应文件递交</w:t>
          </w:r>
          <w:r>
            <w:tab/>
          </w:r>
          <w:r>
            <w:fldChar w:fldCharType="begin"/>
          </w:r>
          <w:r>
            <w:instrText xml:space="preserve"> PAGEREF _Toc29234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_Toc1969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五、</w:t>
          </w:r>
          <w:r>
            <w:rPr>
              <w:rFonts w:hint="eastAsia" w:ascii="华文楷体" w:hAnsi="华文楷体" w:eastAsia="华文楷体" w:cs="华文楷体"/>
              <w:lang w:eastAsia="zh-CN"/>
            </w:rPr>
            <w:t>评审</w:t>
          </w:r>
          <w:r>
            <w:tab/>
          </w:r>
          <w:r>
            <w:fldChar w:fldCharType="begin"/>
          </w:r>
          <w:r>
            <w:instrText xml:space="preserve"> PAGEREF _Toc1969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_Toc15977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六、中标结果</w:t>
          </w:r>
          <w:r>
            <w:tab/>
          </w:r>
          <w:r>
            <w:fldChar w:fldCharType="begin"/>
          </w:r>
          <w:r>
            <w:instrText xml:space="preserve"> PAGEREF _Toc15977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_Toc6548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第三章 合同书样式及主要条款</w:t>
          </w:r>
          <w:r>
            <w:tab/>
          </w:r>
          <w:r>
            <w:fldChar w:fldCharType="begin"/>
          </w:r>
          <w:r>
            <w:instrText xml:space="preserve"> PAGEREF _Toc6548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_Toc6987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 xml:space="preserve">第四章  </w:t>
          </w:r>
          <w:r>
            <w:rPr>
              <w:rFonts w:hint="eastAsia" w:ascii="方正楷体_GBK" w:hAnsi="方正楷体_GBK" w:eastAsia="方正楷体_GBK" w:cs="方正楷体_GBK"/>
              <w:szCs w:val="22"/>
              <w:lang w:eastAsia="zh-CN"/>
            </w:rPr>
            <w:t>响应</w:t>
          </w:r>
          <w:r>
            <w:rPr>
              <w:rFonts w:ascii="方正楷体_GBK" w:hAnsi="方正楷体_GBK" w:eastAsia="方正楷体_GBK" w:cs="方正楷体_GBK"/>
              <w:szCs w:val="22"/>
            </w:rPr>
            <w:t>文件格式</w:t>
          </w:r>
          <w:r>
            <w:rPr>
              <w:rFonts w:hint="eastAsia" w:ascii="方正楷体_GBK" w:hAnsi="方正楷体_GBK" w:eastAsia="方正楷体_GBK" w:cs="方正楷体_GBK"/>
              <w:szCs w:val="22"/>
            </w:rPr>
            <w:t>（见第一章“采购公告”）</w:t>
          </w:r>
          <w:r>
            <w:tab/>
          </w:r>
          <w:r>
            <w:fldChar w:fldCharType="begin"/>
          </w:r>
          <w:r>
            <w:instrText xml:space="preserve"> PAGEREF _Toc6987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_Toc26863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第五章  项目需求及技术要求</w:t>
          </w:r>
          <w:r>
            <w:rPr>
              <w:rFonts w:hint="eastAsia" w:ascii="方正楷体_GBK" w:hAnsi="方正楷体_GBK" w:eastAsia="方正楷体_GBK" w:cs="方正楷体_GBK"/>
              <w:szCs w:val="22"/>
            </w:rPr>
            <w:t>（见第一章“采购公告”）</w:t>
          </w:r>
          <w:r>
            <w:tab/>
          </w:r>
          <w:r>
            <w:fldChar w:fldCharType="begin"/>
          </w:r>
          <w:r>
            <w:instrText xml:space="preserve"> PAGEREF _Toc26863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_Toc8798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第六章  资格评审标准</w:t>
          </w:r>
          <w:r>
            <w:tab/>
          </w:r>
          <w:r>
            <w:fldChar w:fldCharType="begin"/>
          </w:r>
          <w:r>
            <w:instrText xml:space="preserve"> PAGEREF _Toc8798 \h </w:instrText>
          </w:r>
          <w:r>
            <w:fldChar w:fldCharType="separate"/>
          </w:r>
          <w:r>
            <w:t>9</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_Toc32495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第七章  </w:t>
          </w:r>
          <w:r>
            <w:rPr>
              <w:rFonts w:hint="eastAsia" w:ascii="方正楷体_GBK" w:hAnsi="方正楷体_GBK" w:eastAsia="方正楷体_GBK" w:cs="方正楷体_GBK"/>
              <w:szCs w:val="22"/>
              <w:lang w:eastAsia="zh-CN"/>
            </w:rPr>
            <w:t>评审</w:t>
          </w:r>
          <w:r>
            <w:rPr>
              <w:rFonts w:ascii="方正楷体_GBK" w:hAnsi="方正楷体_GBK" w:eastAsia="方正楷体_GBK" w:cs="方正楷体_GBK"/>
              <w:szCs w:val="22"/>
            </w:rPr>
            <w:t>方法（综合评分法）</w:t>
          </w:r>
          <w:r>
            <w:tab/>
          </w:r>
          <w:r>
            <w:fldChar w:fldCharType="begin"/>
          </w:r>
          <w:r>
            <w:instrText xml:space="preserve"> PAGEREF _Toc32495 \h </w:instrText>
          </w:r>
          <w:r>
            <w:fldChar w:fldCharType="separate"/>
          </w:r>
          <w:r>
            <w:t>11</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_Toc16081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eastAsia="zh-CN"/>
            </w:rPr>
            <w:t>评审</w:t>
          </w:r>
          <w:r>
            <w:rPr>
              <w:rFonts w:hint="eastAsia" w:ascii="华文楷体" w:hAnsi="华文楷体" w:eastAsia="华文楷体" w:cs="华文楷体"/>
            </w:rPr>
            <w:t>方法</w:t>
          </w:r>
          <w:r>
            <w:tab/>
          </w:r>
          <w:r>
            <w:fldChar w:fldCharType="begin"/>
          </w:r>
          <w:r>
            <w:instrText xml:space="preserve"> PAGEREF _Toc16081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_Toc28122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评审</w:t>
          </w:r>
          <w:r>
            <w:rPr>
              <w:rFonts w:ascii="华文楷体" w:hAnsi="华文楷体" w:eastAsia="华文楷体" w:cs="华文楷体"/>
            </w:rPr>
            <w:t>程序及标准</w:t>
          </w:r>
          <w:r>
            <w:tab/>
          </w:r>
          <w:r>
            <w:fldChar w:fldCharType="begin"/>
          </w:r>
          <w:r>
            <w:instrText xml:space="preserve"> PAGEREF _Toc28122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_Toc1631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ascii="华文楷体" w:hAnsi="华文楷体" w:eastAsia="华文楷体" w:cs="华文楷体"/>
            </w:rPr>
            <w:t>文件的澄清</w:t>
          </w:r>
          <w:r>
            <w:tab/>
          </w:r>
          <w:r>
            <w:fldChar w:fldCharType="begin"/>
          </w:r>
          <w:r>
            <w:instrText xml:space="preserve"> PAGEREF _Toc1631 \h </w:instrText>
          </w:r>
          <w:r>
            <w:fldChar w:fldCharType="separate"/>
          </w:r>
          <w:r>
            <w:t>14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_Toc14055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w:t>
          </w:r>
          <w:r>
            <w:rPr>
              <w:rFonts w:hint="eastAsia" w:ascii="华文楷体" w:hAnsi="华文楷体" w:eastAsia="华文楷体" w:cs="华文楷体"/>
              <w:lang w:eastAsia="zh-CN"/>
            </w:rPr>
            <w:t>评审</w:t>
          </w:r>
          <w:r>
            <w:rPr>
              <w:rFonts w:ascii="华文楷体" w:hAnsi="华文楷体" w:eastAsia="华文楷体" w:cs="华文楷体"/>
            </w:rPr>
            <w:t>结果</w:t>
          </w:r>
          <w:r>
            <w:tab/>
          </w:r>
          <w:r>
            <w:fldChar w:fldCharType="begin"/>
          </w:r>
          <w:r>
            <w:instrText xml:space="preserve"> PAGEREF _Toc14055 \h </w:instrText>
          </w:r>
          <w:r>
            <w:fldChar w:fldCharType="separate"/>
          </w:r>
          <w:r>
            <w:t>15</w:t>
          </w:r>
          <w:r>
            <w:fldChar w:fldCharType="end"/>
          </w:r>
          <w:r>
            <w:rPr>
              <w:rFonts w:ascii="方正楷体_GBK" w:hAnsi="方正楷体_GBK" w:eastAsia="方正楷体_GBK" w:cs="方正楷体_GBK"/>
              <w:szCs w:val="22"/>
            </w:rPr>
            <w:fldChar w:fldCharType="end"/>
          </w:r>
        </w:p>
        <w:p>
          <w:pPr>
            <w:pStyle w:val="2"/>
            <w:outlineLvl w:val="9"/>
            <w:rPr>
              <w:rFonts w:ascii="方正楷体_GBK" w:hAnsi="方正楷体_GBK" w:eastAsia="方正楷体_GBK" w:cs="方正楷体_GBK"/>
              <w:sz w:val="28"/>
              <w:szCs w:val="22"/>
            </w:rPr>
            <w:sectPr>
              <w:pgSz w:w="11906" w:h="16838"/>
              <w:pgMar w:top="1440" w:right="1800" w:bottom="1440" w:left="1800" w:header="851" w:footer="992" w:gutter="0"/>
              <w:cols w:space="425" w:num="1"/>
              <w:docGrid w:type="lines" w:linePitch="312" w:charSpace="0"/>
            </w:sectPr>
          </w:pPr>
          <w:r>
            <w:rPr>
              <w:rFonts w:ascii="方正楷体_GBK" w:hAnsi="方正楷体_GBK" w:eastAsia="方正楷体_GBK" w:cs="方正楷体_GBK"/>
              <w:szCs w:val="22"/>
            </w:rPr>
            <w:fldChar w:fldCharType="end"/>
          </w:r>
        </w:p>
      </w:sdtContent>
    </w:sdt>
    <w:p>
      <w:pPr>
        <w:pStyle w:val="2"/>
        <w:outlineLvl w:val="0"/>
        <w:rPr>
          <w:rFonts w:ascii="方正楷体_GBK" w:hAnsi="方正楷体_GBK" w:eastAsia="方正楷体_GBK" w:cs="方正楷体_GBK"/>
          <w:sz w:val="28"/>
          <w:szCs w:val="22"/>
        </w:rPr>
      </w:pPr>
      <w:bookmarkStart w:id="0" w:name="_Toc5265"/>
      <w:bookmarkStart w:id="1" w:name="_Toc3076"/>
      <w:r>
        <w:rPr>
          <w:rFonts w:hint="eastAsia" w:ascii="方正楷体_GBK" w:hAnsi="方正楷体_GBK" w:eastAsia="方正楷体_GBK" w:cs="方正楷体_GBK"/>
          <w:sz w:val="28"/>
          <w:szCs w:val="22"/>
        </w:rPr>
        <w:t xml:space="preserve">第一章 </w:t>
      </w:r>
      <w:r>
        <w:rPr>
          <w:rFonts w:hint="eastAsia" w:ascii="方正楷体_GBK" w:hAnsi="方正楷体_GBK" w:eastAsia="方正楷体_GBK" w:cs="方正楷体_GBK"/>
          <w:sz w:val="28"/>
          <w:szCs w:val="22"/>
          <w:lang w:val="en-US" w:eastAsia="zh-CN"/>
        </w:rPr>
        <w:t>采购</w:t>
      </w:r>
      <w:r>
        <w:rPr>
          <w:rFonts w:hint="eastAsia" w:ascii="方正楷体_GBK" w:hAnsi="方正楷体_GBK" w:eastAsia="方正楷体_GBK" w:cs="方正楷体_GBK"/>
          <w:sz w:val="28"/>
          <w:szCs w:val="22"/>
        </w:rPr>
        <w:t>公告</w:t>
      </w:r>
      <w:bookmarkEnd w:id="0"/>
      <w:bookmarkEnd w:id="1"/>
    </w:p>
    <w:p>
      <w:pPr>
        <w:spacing w:line="360" w:lineRule="auto"/>
        <w:rPr>
          <w:rFonts w:hint="eastAsia" w:ascii="华文楷体" w:hAnsi="华文楷体" w:eastAsia="华文楷体" w:cs="华文楷体"/>
          <w:sz w:val="24"/>
          <w:lang w:val="en-US" w:eastAsia="zh-CN"/>
        </w:rPr>
      </w:pPr>
      <w:bookmarkStart w:id="2" w:name="_Toc14002"/>
      <w:r>
        <w:rPr>
          <w:rFonts w:hint="eastAsia" w:ascii="华文楷体" w:hAnsi="华文楷体" w:eastAsia="华文楷体" w:cs="华文楷体"/>
          <w:sz w:val="24"/>
          <w:lang w:val="en-US" w:eastAsia="zh-CN"/>
        </w:rPr>
        <w:t>见昆明医科大学第二附属医院官方网站</w:t>
      </w:r>
      <w:bookmarkEnd w:id="2"/>
    </w:p>
    <w:p>
      <w:pPr>
        <w:spacing w:line="360" w:lineRule="auto"/>
        <w:rPr>
          <w:rFonts w:hint="eastAsia" w:ascii="华文楷体" w:hAnsi="华文楷体" w:eastAsia="华文楷体" w:cs="华文楷体"/>
          <w:sz w:val="24"/>
          <w:lang w:val="en-US" w:eastAsia="zh-CN"/>
        </w:rPr>
      </w:pPr>
      <w:bookmarkStart w:id="3" w:name="_Toc6175"/>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"http://www.kyfey.com/;"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http://www.kyfey.com/;</w:t>
      </w:r>
      <w:r>
        <w:rPr>
          <w:rFonts w:hint="eastAsia" w:ascii="华文楷体" w:hAnsi="华文楷体" w:eastAsia="华文楷体" w:cs="华文楷体"/>
          <w:sz w:val="24"/>
          <w:lang w:val="en-US" w:eastAsia="zh-CN"/>
        </w:rPr>
        <w:fldChar w:fldCharType="end"/>
      </w:r>
      <w:bookmarkEnd w:id="3"/>
    </w:p>
    <w:p>
      <w:pPr>
        <w:spacing w:line="360" w:lineRule="auto"/>
        <w:rPr>
          <w:rFonts w:hint="default" w:ascii="华文楷体" w:hAnsi="华文楷体" w:eastAsia="华文楷体" w:cs="华文楷体"/>
          <w:sz w:val="24"/>
          <w:lang w:val="en-US" w:eastAsia="zh-CN"/>
        </w:rPr>
      </w:pPr>
    </w:p>
    <w:p>
      <w:pPr>
        <w:spacing w:line="360" w:lineRule="auto"/>
        <w:rPr>
          <w:rFonts w:hint="default" w:ascii="华文楷体" w:hAnsi="华文楷体" w:eastAsia="华文楷体" w:cs="华文楷体"/>
          <w:sz w:val="24"/>
          <w:lang w:val="en-US" w:eastAsia="zh-CN"/>
        </w:rPr>
      </w:pPr>
    </w:p>
    <w:p>
      <w:pPr>
        <w:rPr>
          <w:rFonts w:hint="eastAsia" w:ascii="华文楷体" w:hAnsi="华文楷体" w:eastAsia="华文楷体" w:cs="华文楷体"/>
          <w:sz w:val="24"/>
          <w:lang w:val="en-US" w:eastAsia="zh-CN"/>
        </w:rPr>
      </w:pPr>
    </w:p>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4" w:name="_Toc4010"/>
      <w:bookmarkStart w:id="5" w:name="_Toc25376"/>
      <w:r>
        <w:rPr>
          <w:rFonts w:hint="eastAsia" w:ascii="方正楷体_GBK" w:hAnsi="方正楷体_GBK" w:eastAsia="方正楷体_GBK" w:cs="方正楷体_GBK"/>
          <w:sz w:val="28"/>
          <w:szCs w:val="22"/>
        </w:rPr>
        <w:t xml:space="preserve">第二章 </w:t>
      </w:r>
      <w:r>
        <w:rPr>
          <w:rFonts w:hint="eastAsia" w:ascii="方正楷体_GBK" w:hAnsi="方正楷体_GBK" w:eastAsia="方正楷体_GBK" w:cs="方正楷体_GBK"/>
          <w:sz w:val="28"/>
          <w:szCs w:val="22"/>
          <w:lang w:val="en-US" w:eastAsia="zh-CN"/>
        </w:rPr>
        <w:t>响应</w:t>
      </w:r>
      <w:r>
        <w:rPr>
          <w:rFonts w:hint="eastAsia" w:ascii="方正楷体_GBK" w:hAnsi="方正楷体_GBK" w:eastAsia="方正楷体_GBK" w:cs="方正楷体_GBK"/>
          <w:sz w:val="28"/>
          <w:szCs w:val="22"/>
        </w:rPr>
        <w:t>人须知</w:t>
      </w:r>
      <w:bookmarkEnd w:id="4"/>
      <w:bookmarkEnd w:id="5"/>
    </w:p>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1"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条 款 名 称</w:t>
            </w:r>
          </w:p>
        </w:tc>
        <w:tc>
          <w:tcPr>
            <w:tcW w:w="6787"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21" w:type="dxa"/>
            <w:vAlign w:val="center"/>
          </w:tcPr>
          <w:p>
            <w:pPr>
              <w:pStyle w:val="6"/>
              <w:spacing w:line="300" w:lineRule="exact"/>
              <w:rPr>
                <w:rFonts w:ascii="华文楷体" w:hAnsi="华文楷体" w:eastAsia="华文楷体" w:cs="华文楷体"/>
                <w:sz w:val="20"/>
                <w:u w:val="single"/>
              </w:rPr>
            </w:pPr>
            <w:r>
              <w:rPr>
                <w:rFonts w:hint="eastAsia" w:ascii="华文楷体" w:hAnsi="华文楷体" w:eastAsia="华文楷体" w:cs="华文楷体"/>
                <w:bCs/>
                <w:sz w:val="20"/>
              </w:rPr>
              <w:t>采购人</w:t>
            </w:r>
            <w:r>
              <w:rPr>
                <w:rFonts w:hint="eastAsia" w:ascii="华文楷体" w:hAnsi="华文楷体" w:eastAsia="华文楷体" w:cs="华文楷体"/>
                <w:kern w:val="48"/>
                <w:sz w:val="20"/>
              </w:rPr>
              <w:t xml:space="preserve"> </w:t>
            </w:r>
          </w:p>
        </w:tc>
        <w:tc>
          <w:tcPr>
            <w:tcW w:w="6787" w:type="dxa"/>
            <w:vAlign w:val="center"/>
          </w:tcPr>
          <w:p>
            <w:pPr>
              <w:pStyle w:val="6"/>
              <w:spacing w:line="300" w:lineRule="exact"/>
              <w:rPr>
                <w:rFonts w:hint="default" w:ascii="华文楷体" w:hAnsi="华文楷体" w:eastAsia="华文楷体" w:cs="华文楷体"/>
                <w:sz w:val="20"/>
                <w:u w:val="single"/>
                <w:lang w:val="en-US" w:eastAsia="zh-CN"/>
              </w:rPr>
            </w:pPr>
            <w:r>
              <w:rPr>
                <w:rFonts w:hint="eastAsia" w:ascii="华文楷体" w:hAnsi="华文楷体" w:eastAsia="华文楷体" w:cs="华文楷体"/>
                <w:sz w:val="20"/>
              </w:rPr>
              <w:t>昆明医科大学</w:t>
            </w:r>
            <w:r>
              <w:rPr>
                <w:rFonts w:hint="eastAsia" w:ascii="华文楷体" w:hAnsi="华文楷体" w:eastAsia="华文楷体" w:cs="华文楷体"/>
                <w:sz w:val="20"/>
                <w:lang w:val="en-US" w:eastAsia="zh-CN"/>
              </w:rPr>
              <w:t>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交货期：</w:t>
            </w:r>
            <w:r>
              <w:rPr>
                <w:rFonts w:hint="eastAsia" w:ascii="华文楷体" w:hAnsi="华文楷体" w:eastAsia="华文楷体" w:cs="华文楷体"/>
                <w:sz w:val="20"/>
                <w:lang w:val="en-US" w:eastAsia="zh-CN"/>
              </w:rPr>
              <w:t>以供货协议中约定的时间为准</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交货地点：</w:t>
            </w:r>
            <w:r>
              <w:rPr>
                <w:rFonts w:hint="eastAsia" w:ascii="华文楷体" w:hAnsi="华文楷体" w:eastAsia="华文楷体" w:cs="华文楷体"/>
                <w:sz w:val="20"/>
                <w:u w:val="single"/>
              </w:rPr>
              <w:t>昆明医科大学</w:t>
            </w:r>
            <w:r>
              <w:rPr>
                <w:rFonts w:hint="eastAsia" w:ascii="华文楷体" w:hAnsi="华文楷体" w:eastAsia="华文楷体" w:cs="华文楷体"/>
                <w:sz w:val="20"/>
                <w:u w:val="single"/>
                <w:lang w:val="en-US" w:eastAsia="zh-CN"/>
              </w:rPr>
              <w:t>第二附属医院指</w:t>
            </w:r>
            <w:r>
              <w:rPr>
                <w:rFonts w:hint="eastAsia" w:ascii="华文楷体" w:hAnsi="华文楷体" w:eastAsia="华文楷体" w:cs="华文楷体"/>
                <w:sz w:val="20"/>
                <w:u w:val="single"/>
              </w:rPr>
              <w:t>定地点</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交货方式：验收完成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纳税证明材料的时间范围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缴税所属时间在2021年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缴纳社会保险证明材料的时间范围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缴费所属时间在2021年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采购人根据采购项目的特殊要求规定的特定条件</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公告”，第六章资格评审标准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3021" w:type="dxa"/>
            <w:vAlign w:val="center"/>
          </w:tcPr>
          <w:p>
            <w:pPr>
              <w:pStyle w:val="6"/>
              <w:spacing w:line="300" w:lineRule="exact"/>
              <w:rPr>
                <w:rFonts w:hint="eastAsia" w:ascii="华文楷体" w:hAnsi="华文楷体" w:eastAsia="华文楷体" w:cs="华文楷体"/>
                <w:sz w:val="20"/>
                <w:lang w:eastAsia="zh-CN"/>
              </w:rPr>
            </w:pPr>
            <w:r>
              <w:rPr>
                <w:rFonts w:hint="eastAsia" w:ascii="华文楷体" w:hAnsi="华文楷体" w:eastAsia="华文楷体" w:cs="华文楷体"/>
                <w:sz w:val="20"/>
              </w:rPr>
              <w:t>★是否接受联合体</w:t>
            </w:r>
            <w:r>
              <w:rPr>
                <w:rFonts w:hint="eastAsia" w:ascii="华文楷体" w:hAnsi="华文楷体" w:eastAsia="华文楷体" w:cs="华文楷体"/>
                <w:sz w:val="20"/>
                <w:lang w:eastAsia="zh-CN"/>
              </w:rPr>
              <w:t>响应</w:t>
            </w:r>
          </w:p>
        </w:tc>
        <w:tc>
          <w:tcPr>
            <w:tcW w:w="6787" w:type="dxa"/>
            <w:vAlign w:val="center"/>
          </w:tcPr>
          <w:p>
            <w:pPr>
              <w:pStyle w:val="6"/>
              <w:spacing w:line="300" w:lineRule="exact"/>
              <w:jc w:val="left"/>
              <w:rPr>
                <w:rFonts w:ascii="华文楷体" w:hAnsi="华文楷体" w:eastAsia="华文楷体" w:cs="华文楷体"/>
                <w:sz w:val="20"/>
              </w:rPr>
            </w:pPr>
            <w:r>
              <w:rPr>
                <w:rFonts w:hint="eastAsia" w:ascii="华文楷体" w:hAnsi="华文楷体" w:eastAsia="华文楷体" w:cs="华文楷体"/>
                <w:sz w:val="2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★本项目预算金额、最高限价</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Cs/>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021"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技术服务费</w:t>
            </w:r>
          </w:p>
        </w:tc>
        <w:tc>
          <w:tcPr>
            <w:tcW w:w="6787"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提供现场服务，并按“技术要求”提供人员培训的费用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文件有效期</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从提交</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文件截止之日起</w:t>
            </w:r>
            <w:r>
              <w:rPr>
                <w:rFonts w:hint="eastAsia" w:ascii="华文楷体" w:hAnsi="华文楷体" w:eastAsia="华文楷体" w:cs="华文楷体"/>
                <w:sz w:val="20"/>
                <w:u w:val="single"/>
              </w:rPr>
              <w:t>90</w:t>
            </w:r>
            <w:r>
              <w:rPr>
                <w:rFonts w:hint="eastAsia" w:ascii="华文楷体" w:hAnsi="华文楷体" w:eastAsia="华文楷体" w:cs="华文楷体"/>
                <w:sz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分包</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■本项目不得分包。</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□本项目中，</w:t>
            </w:r>
            <w:r>
              <w:rPr>
                <w:rFonts w:hint="eastAsia" w:ascii="华文楷体" w:hAnsi="华文楷体" w:eastAsia="华文楷体" w:cs="华文楷体"/>
                <w:sz w:val="20"/>
                <w:u w:val="single"/>
              </w:rPr>
              <w:t xml:space="preserve">            </w:t>
            </w:r>
            <w:r>
              <w:rPr>
                <w:rFonts w:hint="eastAsia" w:ascii="华文楷体" w:hAnsi="华文楷体" w:eastAsia="华文楷体" w:cs="华文楷体"/>
                <w:sz w:val="20"/>
              </w:rPr>
              <w:t>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提交</w:t>
            </w:r>
            <w:r>
              <w:rPr>
                <w:rFonts w:hint="eastAsia" w:ascii="华文楷体" w:hAnsi="华文楷体" w:eastAsia="华文楷体" w:cs="华文楷体"/>
                <w:sz w:val="20"/>
                <w:lang w:eastAsia="zh-CN"/>
              </w:rPr>
              <w:t>响应</w:t>
            </w:r>
            <w:r>
              <w:rPr>
                <w:rFonts w:hint="eastAsia" w:ascii="华文楷体" w:hAnsi="华文楷体" w:eastAsia="华文楷体" w:cs="华文楷体"/>
                <w:sz w:val="20"/>
              </w:rPr>
              <w:t>文件截止时间</w:t>
            </w:r>
          </w:p>
        </w:tc>
        <w:tc>
          <w:tcPr>
            <w:tcW w:w="6787" w:type="dxa"/>
            <w:vAlign w:val="center"/>
          </w:tcPr>
          <w:p>
            <w:pPr>
              <w:pStyle w:val="6"/>
              <w:spacing w:line="300" w:lineRule="exact"/>
              <w:ind w:left="662" w:hanging="662" w:hangingChars="331"/>
              <w:rPr>
                <w:rFonts w:ascii="华文楷体" w:hAnsi="华文楷体" w:eastAsia="华文楷体" w:cs="华文楷体"/>
                <w:b/>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highlight w:val="none"/>
              </w:rPr>
            </w:pPr>
            <w:r>
              <w:rPr>
                <w:rFonts w:hint="eastAsia" w:ascii="华文楷体" w:hAnsi="华文楷体" w:eastAsia="华文楷体" w:cs="华文楷体"/>
                <w:sz w:val="20"/>
                <w:highlight w:val="none"/>
                <w:lang w:eastAsia="zh-CN"/>
              </w:rPr>
              <w:t>响应</w:t>
            </w:r>
            <w:r>
              <w:rPr>
                <w:rFonts w:hint="eastAsia" w:ascii="华文楷体" w:hAnsi="华文楷体" w:eastAsia="华文楷体" w:cs="华文楷体"/>
                <w:sz w:val="20"/>
                <w:highlight w:val="none"/>
              </w:rPr>
              <w:t>文件份数</w:t>
            </w:r>
          </w:p>
        </w:tc>
        <w:tc>
          <w:tcPr>
            <w:tcW w:w="6787" w:type="dxa"/>
            <w:vAlign w:val="center"/>
          </w:tcPr>
          <w:p>
            <w:pPr>
              <w:pStyle w:val="6"/>
              <w:spacing w:line="300" w:lineRule="exact"/>
              <w:ind w:left="662" w:hanging="662" w:hangingChars="331"/>
              <w:rPr>
                <w:rFonts w:ascii="华文楷体" w:hAnsi="华文楷体" w:eastAsia="华文楷体" w:cs="华文楷体"/>
                <w:sz w:val="20"/>
                <w:highlight w:val="none"/>
              </w:rPr>
            </w:pPr>
            <w:r>
              <w:rPr>
                <w:rFonts w:hint="eastAsia" w:ascii="华文楷体" w:hAnsi="华文楷体" w:eastAsia="华文楷体" w:cs="华文楷体"/>
                <w:sz w:val="20"/>
                <w:highlight w:val="none"/>
              </w:rPr>
              <w:t>一式三份，一正二副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开标时间和地点</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lang w:eastAsia="zh-CN"/>
              </w:rPr>
              <w:t>评审</w:t>
            </w:r>
            <w:r>
              <w:rPr>
                <w:rFonts w:hint="eastAsia" w:ascii="华文楷体" w:hAnsi="华文楷体" w:eastAsia="华文楷体" w:cs="华文楷体"/>
                <w:sz w:val="20"/>
              </w:rPr>
              <w:t>方法</w:t>
            </w:r>
          </w:p>
        </w:tc>
        <w:tc>
          <w:tcPr>
            <w:tcW w:w="6787" w:type="dxa"/>
            <w:vAlign w:val="center"/>
          </w:tcPr>
          <w:p>
            <w:pPr>
              <w:spacing w:line="300" w:lineRule="exact"/>
              <w:rPr>
                <w:rFonts w:ascii="华文楷体" w:hAnsi="华文楷体" w:eastAsia="华文楷体" w:cs="华文楷体"/>
                <w:sz w:val="20"/>
                <w:szCs w:val="20"/>
              </w:rPr>
            </w:pPr>
            <w:r>
              <w:rPr>
                <w:rFonts w:hint="eastAsia" w:ascii="华文楷体" w:hAnsi="华文楷体" w:eastAsia="华文楷体" w:cs="华文楷体"/>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备选方案</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不接受</w:t>
            </w:r>
          </w:p>
        </w:tc>
      </w:tr>
    </w:tbl>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3"/>
        <w:outlineLvl w:val="1"/>
        <w:rPr>
          <w:rFonts w:ascii="华文楷体" w:hAnsi="华文楷体" w:eastAsia="华文楷体" w:cs="华文楷体"/>
          <w:sz w:val="24"/>
        </w:rPr>
      </w:pPr>
      <w:bookmarkStart w:id="6" w:name="_Toc11917"/>
      <w:bookmarkStart w:id="7" w:name="_Toc22701"/>
      <w:r>
        <w:rPr>
          <w:rFonts w:hint="eastAsia" w:ascii="华文楷体" w:hAnsi="华文楷体" w:eastAsia="华文楷体" w:cs="华文楷体"/>
          <w:sz w:val="24"/>
        </w:rPr>
        <w:t>一、</w:t>
      </w:r>
      <w:r>
        <w:rPr>
          <w:rFonts w:hint="eastAsia" w:ascii="华文楷体" w:hAnsi="华文楷体" w:eastAsia="华文楷体" w:cs="华文楷体"/>
          <w:sz w:val="24"/>
          <w:lang w:val="en-US" w:eastAsia="zh-CN"/>
        </w:rPr>
        <w:t>供应商资格要求</w:t>
      </w:r>
      <w:r>
        <w:rPr>
          <w:rFonts w:hint="eastAsia" w:ascii="华文楷体" w:hAnsi="华文楷体" w:eastAsia="华文楷体" w:cs="华文楷体"/>
          <w:sz w:val="24"/>
        </w:rPr>
        <w:t>（见第一章“采购公告”）</w:t>
      </w:r>
      <w:bookmarkEnd w:id="6"/>
      <w:bookmarkEnd w:id="7"/>
    </w:p>
    <w:p>
      <w:pPr>
        <w:pStyle w:val="3"/>
        <w:outlineLvl w:val="1"/>
        <w:rPr>
          <w:rFonts w:ascii="华文楷体" w:hAnsi="华文楷体" w:eastAsia="华文楷体" w:cs="华文楷体"/>
          <w:sz w:val="24"/>
        </w:rPr>
      </w:pPr>
      <w:bookmarkStart w:id="8" w:name="_Toc29042"/>
      <w:bookmarkStart w:id="9" w:name="_Toc9135"/>
      <w:r>
        <w:rPr>
          <w:rFonts w:hint="eastAsia" w:ascii="华文楷体" w:hAnsi="华文楷体" w:eastAsia="华文楷体" w:cs="华文楷体"/>
          <w:sz w:val="24"/>
        </w:rPr>
        <w:t>二、</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w:t>
      </w:r>
      <w:bookmarkEnd w:id="8"/>
      <w:bookmarkEnd w:id="9"/>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文件构成</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要求提供的货物、采购过程及合同条款在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文件中均有说明，</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文件共七章，各章的内容如下：</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第一章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第二章  </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须知</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第三章  合同书样式及主要条款</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第四章  </w:t>
      </w:r>
      <w:r>
        <w:rPr>
          <w:rFonts w:hint="eastAsia" w:ascii="华文楷体" w:hAnsi="华文楷体" w:eastAsia="华文楷体" w:cs="华文楷体"/>
          <w:sz w:val="24"/>
          <w:lang w:val="en-US" w:eastAsia="zh-CN"/>
        </w:rPr>
        <w:t>响应</w:t>
      </w:r>
      <w:r>
        <w:rPr>
          <w:rFonts w:hint="eastAsia" w:ascii="华文楷体" w:hAnsi="华文楷体" w:eastAsia="华文楷体" w:cs="华文楷体"/>
          <w:sz w:val="24"/>
        </w:rPr>
        <w:t>文件格式（附件）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第五章  项目需求及技术要求（附件）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第六章  资格评审标准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第七章  </w:t>
      </w:r>
      <w:r>
        <w:rPr>
          <w:rFonts w:hint="eastAsia" w:ascii="华文楷体" w:hAnsi="华文楷体" w:eastAsia="华文楷体" w:cs="华文楷体"/>
          <w:sz w:val="24"/>
          <w:lang w:val="en-US" w:eastAsia="zh-CN"/>
        </w:rPr>
        <w:t>评审</w:t>
      </w:r>
      <w:r>
        <w:rPr>
          <w:rFonts w:hint="eastAsia" w:ascii="华文楷体" w:hAnsi="华文楷体" w:eastAsia="华文楷体" w:cs="华文楷体"/>
          <w:sz w:val="24"/>
        </w:rPr>
        <w:t>方法</w:t>
      </w:r>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文件的澄清或者修改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截止时间前，无论出于何种原因，采购人可主动地或在解答</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提出的澄清问题时对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文件进行修改，澄清和修改均为</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文件的组成部分，当所发出的</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文件澄清或修改不一致时，以最后发出的为准。采购人在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文件所作的补充、修改或者更正、澄清一并构成</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文件的修改将以书面或网上公告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，并对其具有约束力。为使</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文件时有充分时间对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文件的修改部分进行研究，采购人可以自行酌情延长</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截止时间，并将此变更</w:t>
      </w:r>
      <w:r>
        <w:rPr>
          <w:rFonts w:hint="eastAsia" w:ascii="华文楷体" w:hAnsi="华文楷体" w:eastAsia="华文楷体" w:cs="华文楷体"/>
          <w:sz w:val="24"/>
          <w:lang w:val="en-US" w:eastAsia="zh-CN"/>
        </w:rPr>
        <w:t>以</w:t>
      </w:r>
      <w:r>
        <w:rPr>
          <w:rFonts w:hint="eastAsia" w:ascii="华文楷体" w:hAnsi="华文楷体" w:eastAsia="华文楷体" w:cs="华文楷体"/>
          <w:sz w:val="24"/>
        </w:rPr>
        <w:t>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w:t>
      </w:r>
    </w:p>
    <w:p>
      <w:pPr>
        <w:pStyle w:val="3"/>
        <w:outlineLvl w:val="1"/>
        <w:rPr>
          <w:rFonts w:ascii="华文楷体" w:hAnsi="华文楷体" w:eastAsia="华文楷体" w:cs="华文楷体"/>
          <w:sz w:val="24"/>
        </w:rPr>
      </w:pPr>
      <w:bookmarkStart w:id="10" w:name="_Toc10285"/>
      <w:bookmarkStart w:id="11" w:name="_Toc2042"/>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bookmarkEnd w:id="10"/>
      <w:bookmarkEnd w:id="11"/>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文件编写注意事项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应仔细阅读</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文件，在完全了解采购的内容、技术性能要求(详见“项目需求及技术要求”)和商务条件后，编写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文件中标注★号的条款为实质性要求和条件，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文件必须响应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文件的实质性要求和条件，不满足任何一条将导致</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1.2 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文件提出的实质性要求和条件作出响应是指：</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文件中的实质性要求和条件的内容作出满足或者优于原要求和条件的承诺，并提供相应的证明材料。</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的语言及计量单位</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文件统一使用中文（特别规定除外）。</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2.2</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文件中使用的计量单位除</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文件中有特殊规定外，一律使用中国法定计量单位。</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3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文件构成（格式）</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见附件。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4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报价</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4.</w:t>
      </w:r>
      <w:r>
        <w:rPr>
          <w:rFonts w:ascii="华文楷体" w:hAnsi="华文楷体" w:eastAsia="华文楷体" w:cs="华文楷体"/>
          <w:sz w:val="24"/>
        </w:rPr>
        <w:t>1本项目预算金额及最高限价见</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r>
        <w:rPr>
          <w:rFonts w:ascii="华文楷体" w:hAnsi="华文楷体" w:eastAsia="华文楷体" w:cs="华文楷体"/>
          <w:sz w:val="24"/>
        </w:rPr>
        <w:t>，</w:t>
      </w:r>
      <w:r>
        <w:rPr>
          <w:rFonts w:ascii="华文楷体" w:hAnsi="华文楷体" w:eastAsia="华文楷体" w:cs="华文楷体"/>
          <w:b/>
          <w:bCs/>
          <w:sz w:val="24"/>
        </w:rPr>
        <w:t>若</w:t>
      </w:r>
      <w:r>
        <w:rPr>
          <w:rFonts w:hint="eastAsia" w:ascii="华文楷体" w:hAnsi="华文楷体" w:eastAsia="华文楷体" w:cs="华文楷体"/>
          <w:b/>
          <w:bCs/>
          <w:sz w:val="24"/>
          <w:lang w:eastAsia="zh-CN"/>
        </w:rPr>
        <w:t>响应人</w:t>
      </w:r>
      <w:r>
        <w:rPr>
          <w:rFonts w:ascii="华文楷体" w:hAnsi="华文楷体" w:eastAsia="华文楷体" w:cs="华文楷体"/>
          <w:b/>
          <w:bCs/>
          <w:sz w:val="24"/>
        </w:rPr>
        <w:t>的</w:t>
      </w:r>
      <w:r>
        <w:rPr>
          <w:rFonts w:hint="eastAsia" w:ascii="华文楷体" w:hAnsi="华文楷体" w:eastAsia="华文楷体" w:cs="华文楷体"/>
          <w:b/>
          <w:bCs/>
          <w:sz w:val="24"/>
          <w:lang w:eastAsia="zh-CN"/>
        </w:rPr>
        <w:t>响应</w:t>
      </w:r>
      <w:r>
        <w:rPr>
          <w:rFonts w:ascii="华文楷体" w:hAnsi="华文楷体" w:eastAsia="华文楷体" w:cs="华文楷体"/>
          <w:b/>
          <w:bCs/>
          <w:sz w:val="24"/>
        </w:rPr>
        <w:t>报价超过最高限价</w:t>
      </w:r>
      <w:r>
        <w:rPr>
          <w:rFonts w:hint="eastAsia" w:ascii="华文楷体" w:hAnsi="华文楷体" w:eastAsia="华文楷体" w:cs="华文楷体"/>
          <w:b/>
          <w:bCs/>
          <w:sz w:val="24"/>
        </w:rPr>
        <w:t>/预算价</w:t>
      </w:r>
      <w:r>
        <w:rPr>
          <w:rFonts w:ascii="华文楷体" w:hAnsi="华文楷体" w:eastAsia="华文楷体" w:cs="华文楷体"/>
          <w:b/>
          <w:bCs/>
          <w:sz w:val="24"/>
        </w:rPr>
        <w:t>，按</w:t>
      </w:r>
      <w:r>
        <w:rPr>
          <w:rFonts w:hint="eastAsia" w:ascii="华文楷体" w:hAnsi="华文楷体" w:eastAsia="华文楷体" w:cs="华文楷体"/>
          <w:b/>
          <w:bCs/>
          <w:sz w:val="24"/>
          <w:lang w:val="en-US" w:eastAsia="zh-CN"/>
        </w:rPr>
        <w:t>无效</w:t>
      </w:r>
      <w:r>
        <w:rPr>
          <w:rFonts w:ascii="华文楷体" w:hAnsi="华文楷体" w:eastAsia="华文楷体" w:cs="华文楷体"/>
          <w:b/>
          <w:bCs/>
          <w:sz w:val="24"/>
        </w:rPr>
        <w:t>响应</w:t>
      </w:r>
      <w:r>
        <w:rPr>
          <w:rFonts w:hint="eastAsia" w:ascii="华文楷体" w:hAnsi="华文楷体" w:eastAsia="华文楷体" w:cs="华文楷体"/>
          <w:b/>
          <w:bCs/>
          <w:sz w:val="24"/>
          <w:lang w:eastAsia="zh-CN"/>
        </w:rPr>
        <w:t>采购</w:t>
      </w:r>
      <w:r>
        <w:rPr>
          <w:rFonts w:ascii="华文楷体" w:hAnsi="华文楷体" w:eastAsia="华文楷体" w:cs="华文楷体"/>
          <w:b/>
          <w:bCs/>
          <w:sz w:val="24"/>
        </w:rPr>
        <w:t>文件要求处理。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w:t>
      </w: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须就“项目需求及技术要求”中的</w:t>
      </w:r>
      <w:r>
        <w:rPr>
          <w:rFonts w:hint="eastAsia" w:ascii="华文楷体" w:hAnsi="华文楷体" w:eastAsia="华文楷体" w:cs="华文楷体"/>
          <w:sz w:val="24"/>
          <w:lang w:val="en-US" w:eastAsia="zh-CN"/>
        </w:rPr>
        <w:t>全部品规</w:t>
      </w:r>
      <w:r>
        <w:rPr>
          <w:rFonts w:ascii="华文楷体" w:hAnsi="华文楷体" w:eastAsia="华文楷体" w:cs="华文楷体"/>
          <w:sz w:val="24"/>
        </w:rPr>
        <w:t>作完整唯一报价。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4.3</w:t>
      </w:r>
      <w:r>
        <w:rPr>
          <w:rFonts w:hint="eastAsia" w:ascii="华文楷体" w:hAnsi="华文楷体" w:eastAsia="华文楷体" w:cs="华文楷体"/>
          <w:sz w:val="24"/>
          <w:lang w:eastAsia="zh-CN"/>
        </w:rPr>
        <w:t>响应</w:t>
      </w:r>
      <w:r>
        <w:rPr>
          <w:rFonts w:ascii="华文楷体" w:hAnsi="华文楷体" w:eastAsia="华文楷体" w:cs="华文楷体"/>
          <w:sz w:val="24"/>
        </w:rPr>
        <w:t>以人民币报价。</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5</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文件应尽量避免涂改、行间插字或删除。如果出现上述情况，改动之处应加盖单位章或由</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的法定代表人（签名或盖章）确认。</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★6关键内容字迹潦草、表达不清、未按要求填写而导致非唯一理解，视为未实质性响应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7</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文件中提供的资料（扫描件），内容必须清晰可辨，若内容模糊，无法辨识，均视为未提供。</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★8</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文件商务条款及技术要求的应答出现完全或绝大部分复制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文件要求的，视为未实质性响应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pStyle w:val="3"/>
        <w:outlineLvl w:val="1"/>
        <w:rPr>
          <w:rFonts w:ascii="华文楷体" w:hAnsi="华文楷体" w:eastAsia="华文楷体" w:cs="华文楷体"/>
          <w:sz w:val="24"/>
        </w:rPr>
      </w:pPr>
      <w:bookmarkStart w:id="12" w:name="_Toc11145"/>
      <w:bookmarkStart w:id="13" w:name="_Toc29234"/>
      <w:r>
        <w:rPr>
          <w:rFonts w:hint="eastAsia" w:ascii="华文楷体" w:hAnsi="华文楷体" w:eastAsia="华文楷体" w:cs="华文楷体"/>
          <w:sz w:val="24"/>
        </w:rPr>
        <w:t>四、响应文件递交</w:t>
      </w:r>
      <w:bookmarkEnd w:id="12"/>
      <w:bookmarkEnd w:id="13"/>
    </w:p>
    <w:p>
      <w:pPr>
        <w:rPr>
          <w:rFonts w:ascii="华文楷体" w:hAnsi="华文楷体" w:eastAsia="华文楷体" w:cs="华文楷体"/>
          <w:sz w:val="24"/>
        </w:rPr>
      </w:pPr>
      <w:r>
        <w:rPr>
          <w:rFonts w:hint="eastAsia" w:ascii="华文楷体" w:hAnsi="华文楷体" w:eastAsia="华文楷体" w:cs="华文楷体"/>
          <w:sz w:val="24"/>
          <w:lang w:val="en-US" w:eastAsia="zh-CN"/>
        </w:rPr>
        <w:t>采购</w:t>
      </w:r>
      <w:r>
        <w:rPr>
          <w:rFonts w:hint="eastAsia" w:ascii="华文楷体" w:hAnsi="华文楷体" w:eastAsia="华文楷体" w:cs="华文楷体"/>
          <w:sz w:val="24"/>
        </w:rPr>
        <w:t>现场提交响应文件</w:t>
      </w:r>
      <w:r>
        <w:rPr>
          <w:rFonts w:hint="eastAsia" w:ascii="华文楷体" w:hAnsi="华文楷体" w:eastAsia="华文楷体" w:cs="华文楷体"/>
          <w:sz w:val="24"/>
          <w:lang w:val="en-US" w:eastAsia="zh-CN"/>
        </w:rPr>
        <w:t>的电子版和纸质版</w:t>
      </w:r>
      <w:r>
        <w:rPr>
          <w:rFonts w:hint="eastAsia" w:ascii="华文楷体" w:hAnsi="华文楷体" w:eastAsia="华文楷体" w:cs="华文楷体"/>
          <w:sz w:val="24"/>
        </w:rPr>
        <w:t>。</w:t>
      </w:r>
    </w:p>
    <w:p>
      <w:pPr>
        <w:pStyle w:val="3"/>
        <w:outlineLvl w:val="1"/>
        <w:rPr>
          <w:rFonts w:hint="eastAsia" w:ascii="华文楷体" w:hAnsi="华文楷体" w:eastAsia="华文楷体" w:cs="华文楷体"/>
          <w:sz w:val="24"/>
          <w:lang w:eastAsia="zh-CN"/>
        </w:rPr>
      </w:pPr>
      <w:bookmarkStart w:id="14" w:name="_Toc27320"/>
      <w:bookmarkStart w:id="15" w:name="_Toc1969"/>
      <w:r>
        <w:rPr>
          <w:rFonts w:hint="eastAsia" w:ascii="华文楷体" w:hAnsi="华文楷体" w:eastAsia="华文楷体" w:cs="华文楷体"/>
          <w:sz w:val="24"/>
        </w:rPr>
        <w:t>五、</w:t>
      </w:r>
      <w:r>
        <w:rPr>
          <w:rFonts w:hint="eastAsia" w:ascii="华文楷体" w:hAnsi="华文楷体" w:eastAsia="华文楷体" w:cs="华文楷体"/>
          <w:sz w:val="24"/>
          <w:lang w:eastAsia="zh-CN"/>
        </w:rPr>
        <w:t>评审</w:t>
      </w:r>
      <w:bookmarkEnd w:id="14"/>
      <w:bookmarkEnd w:id="15"/>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1评审专家组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院内5</w:t>
      </w:r>
      <w:r>
        <w:rPr>
          <w:rFonts w:hint="eastAsia" w:ascii="华文楷体" w:hAnsi="华文楷体" w:eastAsia="华文楷体" w:cs="华文楷体"/>
          <w:sz w:val="24"/>
        </w:rPr>
        <w:t>人及以上专家组成。</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2</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综合评分法。</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★3有下列情形之一的，视为</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串通</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3.1</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文件由同一单位或者个人编制；</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3.2</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委托同一单位或者个人办理</w:t>
      </w:r>
      <w:r>
        <w:rPr>
          <w:rFonts w:hint="eastAsia" w:ascii="华文楷体" w:hAnsi="华文楷体" w:eastAsia="华文楷体" w:cs="华文楷体"/>
          <w:sz w:val="24"/>
          <w:lang w:eastAsia="zh-CN"/>
        </w:rPr>
        <w:t>响应</w:t>
      </w:r>
      <w:r>
        <w:rPr>
          <w:rFonts w:ascii="华文楷体" w:hAnsi="华文楷体" w:eastAsia="华文楷体" w:cs="华文楷体"/>
          <w:sz w:val="24"/>
        </w:rPr>
        <w:t>事宜；</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3.3</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文件载明的项目管理成员或者联系人员为同一人；</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3.4</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文件异常一致或者</w:t>
      </w:r>
      <w:r>
        <w:rPr>
          <w:rFonts w:hint="eastAsia" w:ascii="华文楷体" w:hAnsi="华文楷体" w:eastAsia="华文楷体" w:cs="华文楷体"/>
          <w:sz w:val="24"/>
          <w:lang w:eastAsia="zh-CN"/>
        </w:rPr>
        <w:t>响应</w:t>
      </w:r>
      <w:r>
        <w:rPr>
          <w:rFonts w:ascii="华文楷体" w:hAnsi="华文楷体" w:eastAsia="华文楷体" w:cs="华文楷体"/>
          <w:sz w:val="24"/>
        </w:rPr>
        <w:t>报价呈规律性差异；</w:t>
      </w:r>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val="en-US" w:eastAsia="zh-CN"/>
        </w:rPr>
        <w:t>3.5</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文件相互混装</w:t>
      </w:r>
      <w:r>
        <w:rPr>
          <w:rFonts w:hint="eastAsia" w:ascii="华文楷体" w:hAnsi="华文楷体" w:eastAsia="华文楷体" w:cs="华文楷体"/>
          <w:sz w:val="24"/>
          <w:lang w:eastAsia="zh-CN"/>
        </w:rPr>
        <w:t>。</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4提供相同品牌产品且通过资格审查、符合性审查的不同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参加同一</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项目包</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的，按一家</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计算，评审后得分最高的同品牌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获得中标人推荐资格。</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lang w:val="en-US" w:eastAsia="zh-CN"/>
        </w:rPr>
        <w:t>5</w:t>
      </w:r>
      <w:r>
        <w:rPr>
          <w:rFonts w:hint="eastAsia" w:ascii="华文楷体" w:hAnsi="华文楷体" w:eastAsia="华文楷体" w:cs="华文楷体"/>
          <w:sz w:val="24"/>
        </w:rPr>
        <w:t>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中，出现下列情形之一的，应予废标：</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5.1对采购文件作实质响应的响应人不足3家的</w:t>
      </w:r>
      <w:r>
        <w:rPr>
          <w:rFonts w:ascii="华文楷体" w:hAnsi="华文楷体" w:eastAsia="华文楷体" w:cs="华文楷体"/>
          <w:sz w:val="24"/>
        </w:rPr>
        <w:t>；</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5.2</w:t>
      </w:r>
      <w:r>
        <w:rPr>
          <w:rFonts w:ascii="华文楷体" w:hAnsi="华文楷体" w:eastAsia="华文楷体" w:cs="华文楷体"/>
          <w:sz w:val="24"/>
        </w:rPr>
        <w:t>出现影响采购公正的违法、违规行为的；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5.3</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的报价均超过了采购</w:t>
      </w:r>
      <w:r>
        <w:rPr>
          <w:rFonts w:hint="eastAsia" w:ascii="华文楷体" w:hAnsi="华文楷体" w:eastAsia="华文楷体" w:cs="华文楷体"/>
          <w:sz w:val="24"/>
          <w:lang w:val="en-US" w:eastAsia="zh-CN"/>
        </w:rPr>
        <w:t>最高限价</w:t>
      </w:r>
      <w:r>
        <w:rPr>
          <w:rFonts w:ascii="华文楷体" w:hAnsi="华文楷体" w:eastAsia="华文楷体" w:cs="华文楷体"/>
          <w:sz w:val="24"/>
        </w:rPr>
        <w:t>，采购人不能支付的；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5.4</w:t>
      </w:r>
      <w:r>
        <w:rPr>
          <w:rFonts w:ascii="华文楷体" w:hAnsi="华文楷体" w:eastAsia="华文楷体" w:cs="华文楷体"/>
          <w:sz w:val="24"/>
        </w:rPr>
        <w:t>因重大变故</w:t>
      </w:r>
      <w:r>
        <w:rPr>
          <w:rFonts w:hint="eastAsia" w:ascii="华文楷体" w:hAnsi="华文楷体" w:eastAsia="华文楷体" w:cs="华文楷体"/>
          <w:sz w:val="24"/>
          <w:lang w:val="en-US" w:eastAsia="zh-CN"/>
        </w:rPr>
        <w:t>、政策原因或其它不可抗原因</w:t>
      </w:r>
      <w:r>
        <w:rPr>
          <w:rFonts w:ascii="华文楷体" w:hAnsi="华文楷体" w:eastAsia="华文楷体" w:cs="华文楷体"/>
          <w:sz w:val="24"/>
        </w:rPr>
        <w:t>，采购任务取消的。</w:t>
      </w:r>
    </w:p>
    <w:p>
      <w:pPr>
        <w:pStyle w:val="3"/>
        <w:outlineLvl w:val="1"/>
        <w:rPr>
          <w:rFonts w:ascii="华文楷体" w:hAnsi="华文楷体" w:eastAsia="华文楷体" w:cs="华文楷体"/>
          <w:sz w:val="24"/>
        </w:rPr>
      </w:pPr>
      <w:bookmarkStart w:id="16" w:name="_Toc20886"/>
      <w:bookmarkStart w:id="17" w:name="_Toc15977"/>
      <w:r>
        <w:rPr>
          <w:rFonts w:hint="eastAsia" w:ascii="华文楷体" w:hAnsi="华文楷体" w:eastAsia="华文楷体" w:cs="华文楷体"/>
          <w:sz w:val="24"/>
        </w:rPr>
        <w:t>六、中标结果</w:t>
      </w:r>
      <w:bookmarkEnd w:id="16"/>
      <w:bookmarkEnd w:id="17"/>
    </w:p>
    <w:p>
      <w:pPr>
        <w:rPr>
          <w:rFonts w:ascii="华文楷体" w:hAnsi="华文楷体" w:eastAsia="华文楷体" w:cs="华文楷体"/>
          <w:sz w:val="24"/>
        </w:rPr>
      </w:pPr>
      <w:r>
        <w:rPr>
          <w:rFonts w:hint="eastAsia" w:ascii="华文楷体" w:hAnsi="华文楷体" w:eastAsia="华文楷体" w:cs="华文楷体"/>
          <w:sz w:val="24"/>
        </w:rPr>
        <w:t>中标结果</w:t>
      </w:r>
      <w:r>
        <w:rPr>
          <w:rFonts w:hint="eastAsia" w:ascii="华文楷体" w:hAnsi="华文楷体" w:eastAsia="华文楷体" w:cs="华文楷体"/>
          <w:sz w:val="24"/>
          <w:lang w:val="en-US" w:eastAsia="zh-CN"/>
        </w:rPr>
        <w:t>在昆明医科大学第二附属医院官网公示，公示期为3个工作日</w:t>
      </w:r>
      <w:r>
        <w:rPr>
          <w:rFonts w:hint="eastAsia" w:ascii="华文楷体" w:hAnsi="华文楷体" w:eastAsia="华文楷体" w:cs="华文楷体"/>
          <w:b/>
          <w:bCs/>
          <w:sz w:val="24"/>
        </w:rPr>
        <w:t>。</w:t>
      </w:r>
    </w:p>
    <w:p>
      <w:pPr>
        <w:pStyle w:val="2"/>
        <w:outlineLvl w:val="0"/>
        <w:rPr>
          <w:rFonts w:ascii="方正楷体_GBK" w:hAnsi="方正楷体_GBK" w:eastAsia="方正楷体_GBK" w:cs="方正楷体_GBK"/>
          <w:sz w:val="28"/>
          <w:szCs w:val="22"/>
        </w:rPr>
      </w:pPr>
      <w:bookmarkStart w:id="18" w:name="_Toc6548"/>
      <w:bookmarkStart w:id="19" w:name="_Toc28465"/>
      <w:r>
        <w:rPr>
          <w:rFonts w:ascii="方正楷体_GBK" w:hAnsi="方正楷体_GBK" w:eastAsia="方正楷体_GBK" w:cs="方正楷体_GBK"/>
          <w:sz w:val="28"/>
          <w:szCs w:val="22"/>
        </w:rPr>
        <w:t>第三章 合同书样式及主要条款</w:t>
      </w:r>
      <w:bookmarkEnd w:id="18"/>
      <w:bookmarkEnd w:id="19"/>
    </w:p>
    <w:p>
      <w:pPr>
        <w:rPr>
          <w:rFonts w:ascii="华文楷体" w:hAnsi="华文楷体" w:eastAsia="华文楷体" w:cs="华文楷体"/>
          <w:sz w:val="24"/>
        </w:rPr>
      </w:pPr>
      <w:r>
        <w:rPr>
          <w:rFonts w:ascii="华文楷体" w:hAnsi="华文楷体" w:eastAsia="华文楷体" w:cs="华文楷体"/>
          <w:sz w:val="24"/>
        </w:rPr>
        <w:t>合同格式以中标人与采购人最终协商确定的合同格式为准。</w:t>
      </w:r>
    </w:p>
    <w:p>
      <w:pPr>
        <w:pStyle w:val="2"/>
        <w:outlineLvl w:val="0"/>
        <w:rPr>
          <w:rFonts w:ascii="方正楷体_GBK" w:hAnsi="方正楷体_GBK" w:eastAsia="方正楷体_GBK" w:cs="方正楷体_GBK"/>
          <w:sz w:val="28"/>
          <w:szCs w:val="22"/>
        </w:rPr>
      </w:pPr>
      <w:bookmarkStart w:id="20" w:name="_Toc8561"/>
      <w:bookmarkStart w:id="21" w:name="_Toc6987"/>
      <w:r>
        <w:rPr>
          <w:rFonts w:ascii="方正楷体_GBK" w:hAnsi="方正楷体_GBK" w:eastAsia="方正楷体_GBK" w:cs="方正楷体_GBK"/>
          <w:sz w:val="28"/>
          <w:szCs w:val="22"/>
        </w:rPr>
        <w:t xml:space="preserve">第四章  </w:t>
      </w:r>
      <w:r>
        <w:rPr>
          <w:rFonts w:hint="eastAsia" w:ascii="方正楷体_GBK" w:hAnsi="方正楷体_GBK" w:eastAsia="方正楷体_GBK" w:cs="方正楷体_GBK"/>
          <w:sz w:val="28"/>
          <w:szCs w:val="22"/>
          <w:lang w:eastAsia="zh-CN"/>
        </w:rPr>
        <w:t>响应</w:t>
      </w:r>
      <w:r>
        <w:rPr>
          <w:rFonts w:ascii="方正楷体_GBK" w:hAnsi="方正楷体_GBK" w:eastAsia="方正楷体_GBK" w:cs="方正楷体_GBK"/>
          <w:sz w:val="28"/>
          <w:szCs w:val="22"/>
        </w:rPr>
        <w:t>文件格式</w:t>
      </w:r>
      <w:r>
        <w:rPr>
          <w:rFonts w:hint="eastAsia" w:ascii="方正楷体_GBK" w:hAnsi="方正楷体_GBK" w:eastAsia="方正楷体_GBK" w:cs="方正楷体_GBK"/>
          <w:sz w:val="28"/>
          <w:szCs w:val="22"/>
        </w:rPr>
        <w:t>（见第一章“采购公告</w:t>
      </w:r>
      <w:r>
        <w:rPr>
          <w:rFonts w:hint="eastAsia" w:ascii="方正楷体_GBK" w:hAnsi="方正楷体_GBK" w:eastAsia="方正楷体_GBK" w:cs="方正楷体_GBK"/>
          <w:sz w:val="28"/>
          <w:szCs w:val="22"/>
          <w:lang w:val="en-US" w:eastAsia="zh-CN"/>
        </w:rPr>
        <w:t>附件2</w:t>
      </w:r>
      <w:r>
        <w:rPr>
          <w:rFonts w:hint="eastAsia" w:ascii="方正楷体_GBK" w:hAnsi="方正楷体_GBK" w:eastAsia="方正楷体_GBK" w:cs="方正楷体_GBK"/>
          <w:sz w:val="28"/>
          <w:szCs w:val="22"/>
        </w:rPr>
        <w:t>”）</w:t>
      </w:r>
      <w:bookmarkEnd w:id="20"/>
      <w:bookmarkEnd w:id="21"/>
    </w:p>
    <w:p>
      <w:pPr>
        <w:pStyle w:val="2"/>
        <w:outlineLvl w:val="0"/>
        <w:rPr>
          <w:rFonts w:ascii="方正楷体_GBK" w:hAnsi="方正楷体_GBK" w:eastAsia="方正楷体_GBK" w:cs="方正楷体_GBK"/>
          <w:sz w:val="28"/>
          <w:szCs w:val="22"/>
        </w:rPr>
      </w:pPr>
      <w:bookmarkStart w:id="22" w:name="_Toc26863"/>
      <w:bookmarkStart w:id="23" w:name="_Toc9322"/>
      <w:r>
        <w:rPr>
          <w:rFonts w:ascii="方正楷体_GBK" w:hAnsi="方正楷体_GBK" w:eastAsia="方正楷体_GBK" w:cs="方正楷体_GBK"/>
          <w:sz w:val="28"/>
          <w:szCs w:val="22"/>
        </w:rPr>
        <w:t>第五章  项目需求及技术要求</w:t>
      </w:r>
      <w:r>
        <w:rPr>
          <w:rFonts w:hint="eastAsia" w:ascii="方正楷体_GBK" w:hAnsi="方正楷体_GBK" w:eastAsia="方正楷体_GBK" w:cs="方正楷体_GBK"/>
          <w:sz w:val="28"/>
          <w:szCs w:val="22"/>
        </w:rPr>
        <w:t>（见第一章“采购公告”）</w:t>
      </w:r>
      <w:bookmarkEnd w:id="22"/>
      <w:bookmarkEnd w:id="23"/>
    </w:p>
    <w:p>
      <w:pPr>
        <w:rPr>
          <w:b/>
          <w:sz w:val="28"/>
          <w:szCs w:val="22"/>
        </w:rPr>
      </w:pPr>
    </w:p>
    <w:p>
      <w:pPr>
        <w:rPr>
          <w:b/>
          <w:sz w:val="28"/>
          <w:szCs w:val="22"/>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4" w:name="_Toc23936"/>
      <w:bookmarkStart w:id="25" w:name="_Toc8798"/>
      <w:r>
        <w:rPr>
          <w:rFonts w:hint="eastAsia" w:ascii="方正楷体_GBK" w:hAnsi="方正楷体_GBK" w:eastAsia="方正楷体_GBK" w:cs="方正楷体_GBK"/>
          <w:sz w:val="28"/>
          <w:szCs w:val="22"/>
        </w:rPr>
        <w:t>第六章  资格评审标准</w:t>
      </w:r>
      <w:bookmarkEnd w:id="24"/>
      <w:bookmarkEnd w:id="25"/>
    </w:p>
    <w:p>
      <w:pPr>
        <w:spacing w:line="360" w:lineRule="auto"/>
        <w:rPr>
          <w:rFonts w:ascii="华文楷体" w:hAnsi="华文楷体" w:eastAsia="华文楷体" w:cs="华文楷体"/>
          <w:sz w:val="24"/>
        </w:rPr>
      </w:pPr>
      <w:r>
        <w:rPr>
          <w:rFonts w:hint="eastAsia" w:ascii="华文楷体" w:hAnsi="华文楷体" w:eastAsia="华文楷体" w:cs="华文楷体"/>
          <w:sz w:val="24"/>
          <w:lang w:eastAsia="zh-CN"/>
        </w:rPr>
        <w:t>响应</w:t>
      </w:r>
      <w:r>
        <w:rPr>
          <w:rFonts w:ascii="华文楷体" w:hAnsi="华文楷体" w:eastAsia="华文楷体" w:cs="华文楷体"/>
          <w:sz w:val="24"/>
        </w:rPr>
        <w:t>文件出现不满足下列各项评审内容及标准要求之一的，则资格评审为不合格。合格</w:t>
      </w:r>
      <w:r>
        <w:rPr>
          <w:rFonts w:hint="eastAsia" w:ascii="华文楷体" w:hAnsi="华文楷体" w:eastAsia="华文楷体" w:cs="华文楷体"/>
          <w:sz w:val="24"/>
          <w:lang w:eastAsia="zh-CN"/>
        </w:rPr>
        <w:t>响应人</w:t>
      </w:r>
      <w:r>
        <w:rPr>
          <w:rFonts w:ascii="华文楷体" w:hAnsi="华文楷体" w:eastAsia="华文楷体" w:cs="华文楷体"/>
          <w:sz w:val="24"/>
        </w:rPr>
        <w:t>不足3家的，不得</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（非二次公示）</w:t>
      </w:r>
      <w:r>
        <w:rPr>
          <w:rFonts w:ascii="华文楷体" w:hAnsi="华文楷体" w:eastAsia="华文楷体" w:cs="华文楷体"/>
          <w:sz w:val="24"/>
        </w:rPr>
        <w:t>。下列各项评审内容及标准均为</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文件的实质性要求，</w:t>
      </w:r>
      <w:r>
        <w:rPr>
          <w:rFonts w:hint="eastAsia" w:ascii="华文楷体" w:hAnsi="华文楷体" w:eastAsia="华文楷体" w:cs="华文楷体"/>
          <w:sz w:val="24"/>
          <w:lang w:eastAsia="zh-CN"/>
        </w:rPr>
        <w:t>响应</w:t>
      </w:r>
      <w:r>
        <w:rPr>
          <w:rFonts w:ascii="华文楷体" w:hAnsi="华文楷体" w:eastAsia="华文楷体" w:cs="华文楷体"/>
          <w:sz w:val="24"/>
        </w:rPr>
        <w:t>文件响应各款所列材料在开标后不得澄清、后补。</w:t>
      </w:r>
    </w:p>
    <w:tbl>
      <w:tblPr>
        <w:tblStyle w:val="8"/>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81"/>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Merge w:val="restart"/>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1</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1.1</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具有独立承担民事责任能力，提供有效期内的营业执照、法定代表人身份证或法定代表人身份证明书（原件）；法定代表人委托他人参与的，还需提交法定代表人授权委托书（原件）、委托代理人身份证（原件及复印件），</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1.2</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良好的商业信誉和健全的财务会计制度，提供信用记录信息截图（可通过“信用中国www.creditchina.gov.cn”、“中国政府采购网www.ccgp.gov.cn”等渠道查询，并将查询结果截图打印加盖鲜章），近三年任意一年经第三方审计的财务审计报告（含财务报表）或自报名截止时间前一年内由基本开户银行出具的资信证明</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1.3</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具有依法缴纳税收和社会保障资金的良好记录，提供最近一年内任意一个月依法缴纳税收凭证和社会保险费缴费凭证（新成立企业依法不需缴纳税收和社会保险费用的企业需提供相关证明材料或承诺）</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w:t>
            </w:r>
            <w:r>
              <w:rPr>
                <w:rFonts w:hint="eastAsia" w:ascii="华文楷体" w:hAnsi="华文楷体" w:eastAsia="华文楷体" w:cs="华文楷体"/>
                <w:sz w:val="24"/>
                <w:lang w:val="en-US" w:eastAsia="zh-CN"/>
              </w:rPr>
              <w:t>4</w:t>
            </w:r>
          </w:p>
        </w:tc>
        <w:tc>
          <w:tcPr>
            <w:tcW w:w="8833" w:type="dxa"/>
            <w:vAlign w:val="center"/>
          </w:tcPr>
          <w:p>
            <w:pPr>
              <w:spacing w:before="100" w:beforeAutospacing="1" w:after="100" w:afterAutospacing="1" w:line="360" w:lineRule="auto"/>
              <w:jc w:val="left"/>
              <w:rPr>
                <w:rFonts w:hint="default" w:ascii="华文楷体" w:hAnsi="华文楷体" w:eastAsia="华文楷体" w:cs="华文楷体"/>
                <w:sz w:val="24"/>
                <w:highlight w:val="none"/>
                <w:lang w:val="en-US"/>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必须提供参加采购活动前3年内在经营活动中没有重大违法记录的书面声明（重大违法记录，是指供应商因违法经营受到刑事处罚或者责令停产停业、吊销许可证或者执照、较大数额罚款等行政处罚</w:t>
            </w:r>
            <w:r>
              <w:rPr>
                <w:rFonts w:hint="eastAsia" w:ascii="华文楷体" w:hAnsi="华文楷体" w:eastAsia="华文楷体" w:cs="华文楷体"/>
                <w:sz w:val="24"/>
                <w:lang w:eastAsia="zh-CN"/>
              </w:rPr>
              <w:t>），</w:t>
            </w:r>
            <w:r>
              <w:rPr>
                <w:rFonts w:hint="eastAsia" w:ascii="华文楷体" w:hAnsi="华文楷体" w:eastAsia="华文楷体" w:cs="华文楷体"/>
                <w:sz w:val="24"/>
                <w:lang w:val="en-US" w:eastAsia="zh-CN"/>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1.5</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须提供履行合同所必需的证明材料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6" w:type="dxa"/>
            <w:vMerge w:val="restart"/>
            <w:vAlign w:val="center"/>
          </w:tcPr>
          <w:p>
            <w:pPr>
              <w:spacing w:before="100" w:beforeAutospacing="1" w:after="100" w:afterAutospacing="1" w:line="360" w:lineRule="auto"/>
              <w:rPr>
                <w:rFonts w:ascii="华文楷体" w:hAnsi="华文楷体" w:eastAsia="华文楷体" w:cs="华文楷体"/>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2</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2.1</w:t>
            </w:r>
          </w:p>
        </w:tc>
        <w:tc>
          <w:tcPr>
            <w:tcW w:w="8833" w:type="dxa"/>
            <w:vAlign w:val="center"/>
          </w:tcPr>
          <w:p>
            <w:pPr>
              <w:spacing w:before="100" w:beforeAutospacing="1" w:after="100" w:afterAutospacing="1" w:line="240" w:lineRule="auto"/>
              <w:jc w:val="left"/>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4"/>
                <w:szCs w:val="24"/>
              </w:rPr>
              <w:t>1.响应人须提供有效的《医疗器械经营企业许可证》或备案凭证；2.有效的产品生产许可证（进口产品除外）；3.响应产品有效的医疗器械注册证（含注册登记表）/备案证；4.响应产品是进口产品，必须具有制造商、全国总代或有可追溯的区域产品代理商针对本项目的专项授权书或长期代理授权书；是国产医用耗材的，需提供有利于合同执行的、可追溯的、制造商或代理商专项或长期供货证明材料。</w:t>
            </w:r>
            <w:r>
              <w:rPr>
                <w:rFonts w:hint="eastAsia" w:ascii="华文楷体" w:hAnsi="华文楷体" w:eastAsia="华文楷体" w:cs="华文楷体"/>
                <w:sz w:val="24"/>
                <w:szCs w:val="24"/>
                <w:lang w:val="en-US" w:eastAsia="zh-CN"/>
              </w:rPr>
              <w:t>未能提供上述材料的</w:t>
            </w:r>
            <w:r>
              <w:rPr>
                <w:rFonts w:hint="eastAsia" w:ascii="华文楷体" w:hAnsi="华文楷体" w:eastAsia="华文楷体" w:cs="华文楷体"/>
                <w:sz w:val="24"/>
                <w:lang w:val="en-US" w:eastAsia="zh-CN"/>
              </w:rPr>
              <w:t>，</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2.2</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1"/>
                <w:szCs w:val="21"/>
              </w:rPr>
            </w:pPr>
            <w:r>
              <w:rPr>
                <w:rFonts w:hint="eastAsia" w:ascii="华文楷体" w:hAnsi="华文楷体" w:eastAsia="华文楷体" w:cs="华文楷体"/>
                <w:kern w:val="0"/>
                <w:sz w:val="24"/>
                <w:szCs w:val="24"/>
              </w:rPr>
              <w:t>单位负责人为同一人或者存在直接控股、管理关系的不同</w:t>
            </w:r>
            <w:r>
              <w:rPr>
                <w:rFonts w:hint="eastAsia" w:ascii="华文楷体" w:hAnsi="华文楷体" w:eastAsia="华文楷体" w:cs="华文楷体"/>
                <w:kern w:val="0"/>
                <w:sz w:val="24"/>
                <w:szCs w:val="24"/>
                <w:lang w:eastAsia="zh-CN"/>
              </w:rPr>
              <w:t>响应人</w:t>
            </w:r>
            <w:r>
              <w:rPr>
                <w:rFonts w:hint="eastAsia" w:ascii="华文楷体" w:hAnsi="华文楷体" w:eastAsia="华文楷体" w:cs="华文楷体"/>
                <w:kern w:val="0"/>
                <w:sz w:val="24"/>
                <w:szCs w:val="24"/>
              </w:rPr>
              <w:t>，不得参加同一</w:t>
            </w:r>
            <w:r>
              <w:rPr>
                <w:rFonts w:hint="eastAsia" w:ascii="华文楷体" w:hAnsi="华文楷体" w:eastAsia="华文楷体" w:cs="华文楷体"/>
                <w:kern w:val="0"/>
                <w:sz w:val="24"/>
                <w:szCs w:val="24"/>
                <w:lang w:eastAsia="zh-CN"/>
              </w:rPr>
              <w:t>采购</w:t>
            </w:r>
            <w:r>
              <w:rPr>
                <w:rFonts w:hint="eastAsia" w:ascii="华文楷体" w:hAnsi="华文楷体" w:eastAsia="华文楷体" w:cs="华文楷体"/>
                <w:kern w:val="0"/>
                <w:sz w:val="24"/>
                <w:szCs w:val="24"/>
              </w:rPr>
              <w:t>项目包的采购活动。</w:t>
            </w:r>
          </w:p>
        </w:tc>
      </w:tr>
    </w:tbl>
    <w:p>
      <w:pPr>
        <w:rPr>
          <w:rFonts w:ascii="华文楷体" w:hAnsi="华文楷体" w:eastAsia="华文楷体" w:cs="华文楷体"/>
          <w:b/>
          <w:bCs/>
          <w:sz w:val="32"/>
          <w:szCs w:val="32"/>
        </w:rPr>
        <w:sectPr>
          <w:pgSz w:w="11906" w:h="16838"/>
          <w:pgMar w:top="930" w:right="1179" w:bottom="930" w:left="1179"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6" w:name="_Toc32495"/>
      <w:bookmarkStart w:id="27" w:name="_Toc32426"/>
      <w:r>
        <w:rPr>
          <w:rFonts w:hint="eastAsia" w:ascii="方正楷体_GBK" w:hAnsi="方正楷体_GBK" w:eastAsia="方正楷体_GBK" w:cs="方正楷体_GBK"/>
          <w:sz w:val="28"/>
          <w:szCs w:val="22"/>
        </w:rPr>
        <w:t xml:space="preserve">第七章  </w:t>
      </w:r>
      <w:r>
        <w:rPr>
          <w:rFonts w:hint="eastAsia" w:ascii="方正楷体_GBK" w:hAnsi="方正楷体_GBK" w:eastAsia="方正楷体_GBK" w:cs="方正楷体_GBK"/>
          <w:sz w:val="28"/>
          <w:szCs w:val="22"/>
          <w:lang w:eastAsia="zh-CN"/>
        </w:rPr>
        <w:t>评审</w:t>
      </w:r>
      <w:r>
        <w:rPr>
          <w:rFonts w:ascii="方正楷体_GBK" w:hAnsi="方正楷体_GBK" w:eastAsia="方正楷体_GBK" w:cs="方正楷体_GBK"/>
          <w:sz w:val="28"/>
          <w:szCs w:val="22"/>
        </w:rPr>
        <w:t>方法（综合评分法）</w:t>
      </w:r>
      <w:bookmarkEnd w:id="26"/>
      <w:bookmarkEnd w:id="27"/>
    </w:p>
    <w:tbl>
      <w:tblPr>
        <w:tblStyle w:val="8"/>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3"/>
        <w:gridCol w:w="1593"/>
        <w:gridCol w:w="268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3.1</w:t>
            </w:r>
          </w:p>
        </w:tc>
        <w:tc>
          <w:tcPr>
            <w:tcW w:w="1013"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符合性评审标准</w:t>
            </w:r>
          </w:p>
        </w:tc>
        <w:tc>
          <w:tcPr>
            <w:tcW w:w="8181" w:type="dxa"/>
            <w:gridSpan w:val="3"/>
            <w:vAlign w:val="center"/>
          </w:tcPr>
          <w:p>
            <w:pPr>
              <w:spacing w:before="100" w:beforeAutospacing="1" w:after="100" w:afterAutospacing="1" w:line="160" w:lineRule="atLeast"/>
              <w:jc w:val="left"/>
              <w:rPr>
                <w:rFonts w:ascii="华文楷体" w:hAnsi="华文楷体" w:eastAsia="华文楷体" w:cs="华文楷体"/>
                <w:b/>
                <w:szCs w:val="21"/>
              </w:rPr>
            </w:pPr>
            <w:r>
              <w:rPr>
                <w:rFonts w:hint="eastAsia" w:ascii="华文楷体" w:hAnsi="华文楷体" w:eastAsia="华文楷体" w:cs="华文楷体"/>
                <w:b/>
                <w:szCs w:val="21"/>
                <w:lang w:eastAsia="zh-CN"/>
              </w:rPr>
              <w:t>响应人</w:t>
            </w:r>
            <w:r>
              <w:rPr>
                <w:rFonts w:hint="eastAsia" w:ascii="华文楷体" w:hAnsi="华文楷体" w:eastAsia="华文楷体" w:cs="华文楷体"/>
                <w:b/>
                <w:szCs w:val="21"/>
              </w:rPr>
              <w:t>存在下列情况之一的，</w:t>
            </w:r>
            <w:r>
              <w:rPr>
                <w:rFonts w:hint="eastAsia" w:ascii="华文楷体" w:hAnsi="华文楷体" w:eastAsia="华文楷体" w:cs="华文楷体"/>
                <w:b/>
                <w:szCs w:val="21"/>
                <w:lang w:eastAsia="zh-CN"/>
              </w:rPr>
              <w:t>响应</w:t>
            </w:r>
            <w:r>
              <w:rPr>
                <w:rFonts w:hint="eastAsia" w:ascii="华文楷体" w:hAnsi="华文楷体" w:eastAsia="华文楷体" w:cs="华文楷体"/>
                <w:b/>
                <w:szCs w:val="2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签署、盖章</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法定代表人身份证明书及法定代表人授权委托书</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报价超过</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文件中规定的最高限价的；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不能接受的附加条件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其它实质性条件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响应</w:t>
            </w:r>
            <w:r>
              <w:rPr>
                <w:rFonts w:hint="eastAsia" w:ascii="华文楷体" w:hAnsi="华文楷体" w:eastAsia="华文楷体" w:cs="华文楷体"/>
                <w:szCs w:val="21"/>
                <w:lang w:val="en-US" w:eastAsia="zh-CN"/>
              </w:rPr>
              <w:t>输液器</w:t>
            </w:r>
            <w:r>
              <w:rPr>
                <w:rFonts w:hint="eastAsia" w:ascii="华文楷体" w:hAnsi="华文楷体" w:eastAsia="华文楷体" w:cs="华文楷体"/>
                <w:szCs w:val="21"/>
              </w:rPr>
              <w:t>的全部规格型号产品</w:t>
            </w:r>
            <w:r>
              <w:rPr>
                <w:rFonts w:hint="eastAsia" w:ascii="华文楷体" w:hAnsi="华文楷体" w:eastAsia="华文楷体" w:cs="华文楷体"/>
                <w:szCs w:val="21"/>
                <w:lang w:val="en-US" w:eastAsia="zh-CN"/>
              </w:rPr>
              <w:t>不是</w:t>
            </w:r>
            <w:r>
              <w:rPr>
                <w:rFonts w:hint="eastAsia" w:ascii="华文楷体" w:hAnsi="华文楷体" w:eastAsia="华文楷体" w:cs="华文楷体"/>
                <w:szCs w:val="21"/>
              </w:rPr>
              <w:t>同一品牌</w:t>
            </w:r>
            <w:r>
              <w:rPr>
                <w:rFonts w:hint="eastAsia" w:ascii="华文楷体" w:hAnsi="华文楷体" w:eastAsia="华文楷体" w:cs="华文楷体"/>
                <w:szCs w:val="21"/>
                <w:lang w:val="en-US" w:eastAsia="zh-CN"/>
              </w:rPr>
              <w:t>或</w:t>
            </w:r>
            <w:r>
              <w:rPr>
                <w:rFonts w:hint="eastAsia" w:ascii="华文楷体" w:hAnsi="华文楷体" w:eastAsia="华文楷体" w:cs="华文楷体"/>
                <w:szCs w:val="21"/>
              </w:rPr>
              <w:t>缺项和漏项</w:t>
            </w:r>
            <w:r>
              <w:rPr>
                <w:rFonts w:hint="eastAsia" w:ascii="华文楷体" w:hAnsi="华文楷体" w:eastAsia="华文楷体" w:cs="华文楷体"/>
                <w:szCs w:val="21"/>
                <w:lang w:val="en-US" w:eastAsia="zh-CN"/>
              </w:rPr>
              <w:t>的</w:t>
            </w:r>
            <w:r>
              <w:rPr>
                <w:rFonts w:hint="eastAsia" w:ascii="华文楷体" w:hAnsi="华文楷体" w:eastAsia="华文楷体" w:cs="华文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其他无效情形</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法律、法规和</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3.2</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1、</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总得分计算公式</w:t>
            </w:r>
          </w:p>
        </w:tc>
        <w:tc>
          <w:tcPr>
            <w:tcW w:w="6588" w:type="dxa"/>
            <w:gridSpan w:val="2"/>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响应人</w:t>
            </w:r>
            <w:r>
              <w:rPr>
                <w:rFonts w:hint="eastAsia" w:ascii="华文楷体" w:hAnsi="华文楷体" w:eastAsia="华文楷体" w:cs="华文楷体"/>
                <w:szCs w:val="21"/>
              </w:rPr>
              <w:t>的</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总得分＝F1＋F2＋F3</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其中：①F1、F2、F3分别为</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2、评分因素</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分值及权重</w:t>
            </w:r>
          </w:p>
        </w:tc>
        <w:tc>
          <w:tcPr>
            <w:tcW w:w="6588" w:type="dxa"/>
            <w:gridSpan w:val="2"/>
            <w:vAlign w:val="center"/>
          </w:tcPr>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报价F1：满分30分。技术部分F2：满分40分。</w:t>
            </w:r>
          </w:p>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rPr>
              <w:t>商务部分F3：满分30分。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tcBorders>
              <w:bottom w:val="single" w:color="auto" w:sz="4" w:space="0"/>
            </w:tcBorders>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评审F1</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tcBorders>
              <w:bottom w:val="single" w:color="auto" w:sz="4" w:space="0"/>
            </w:tcBorders>
            <w:vAlign w:val="center"/>
          </w:tcPr>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 xml:space="preserve">报价计算公式= </w:t>
            </w:r>
            <w:r>
              <w:rPr>
                <w:rFonts w:hint="eastAsia" w:ascii="华文楷体" w:hAnsi="华文楷体" w:eastAsia="华文楷体" w:cs="华文楷体"/>
                <w:position w:val="-26"/>
                <w:szCs w:val="21"/>
              </w:rPr>
              <w:object>
                <v:shape id="_x0000_i1025" o:spt="75" type="#_x0000_t75" style="height:36pt;width:77.6pt;" o:ole="t" filled="f" o:preferrelative="t" stroked="f" coordsize="21600,21600">
                  <v:path/>
                  <v:fill on="f" focussize="0,0"/>
                  <v:stroke on="f" joinstyle="miter"/>
                  <v:imagedata r:id="rId5" o:title="341228446826312"/>
                  <o:lock v:ext="edit" aspectratio="t"/>
                  <w10:wrap type="none"/>
                  <w10:anchorlock/>
                </v:shape>
                <o:OLEObject Type="Embed" ProgID="Equation.3" ShapeID="_x0000_i1025" DrawAspect="Content" ObjectID="_1468075725" r:id="rId4">
                  <o:LockedField>false</o:LockedField>
                </o:OLEObject>
              </w:object>
            </w:r>
            <w:r>
              <w:rPr>
                <w:rFonts w:hint="eastAsia" w:ascii="华文楷体" w:hAnsi="华文楷体" w:eastAsia="华文楷体" w:cs="华文楷体"/>
                <w:szCs w:val="21"/>
              </w:rPr>
              <w:t>×30</w:t>
            </w:r>
          </w:p>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即：F1=[C/（B1，B2，…，Bn）]×30</w:t>
            </w:r>
          </w:p>
          <w:p>
            <w:pPr>
              <w:adjustRightInd w:val="0"/>
              <w:spacing w:line="240" w:lineRule="atLeast"/>
              <w:rPr>
                <w:rFonts w:hint="default" w:ascii="华文楷体" w:hAnsi="华文楷体" w:eastAsia="华文楷体" w:cs="华文楷体"/>
                <w:szCs w:val="21"/>
                <w:lang w:val="en-US" w:eastAsia="zh-CN"/>
              </w:rPr>
            </w:pPr>
            <w:r>
              <w:rPr>
                <w:rFonts w:hint="eastAsia" w:ascii="华文楷体" w:hAnsi="华文楷体" w:eastAsia="华文楷体" w:cs="华文楷体"/>
                <w:szCs w:val="21"/>
              </w:rPr>
              <w:t>注：C为</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基准价，即经初步审查合格且</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价格最低的有效</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报价；B1，B2，…，Bn为第n个经初步审查合格的有效</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加权报价计算公式为：Bn=∑d</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lang w:val="en-US" w:eastAsia="zh-CN"/>
              </w:rPr>
              <w:t>*w</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vertAlign w:val="baseline"/>
                <w:lang w:val="en-US" w:eastAsia="zh-CN"/>
              </w:rPr>
              <w:t>，其中di为第i个规格型号的报价，wi为第i个规格的价格权重。加权报价B的计算由各供应商完成，如计算错误，将被视为无效响应。</w:t>
            </w:r>
          </w:p>
          <w:tbl>
            <w:tblPr>
              <w:tblStyle w:val="8"/>
              <w:tblW w:w="628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0"/>
              <w:gridCol w:w="320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240" w:lineRule="atLeast"/>
                    <w:jc w:val="center"/>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耗材名称</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240" w:lineRule="atLeast"/>
                    <w:jc w:val="center"/>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规格/型号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240" w:lineRule="atLeast"/>
                    <w:jc w:val="center"/>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价格权重（%）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bookmarkStart w:id="36" w:name="_GoBack" w:colFirst="2" w:colLast="2"/>
                  <w:r>
                    <w:rPr>
                      <w:rFonts w:hint="eastAsia" w:ascii="仿宋" w:hAnsi="仿宋" w:eastAsia="仿宋" w:cs="仿宋"/>
                      <w:i w:val="0"/>
                      <w:iCs w:val="0"/>
                      <w:color w:val="000000"/>
                      <w:kern w:val="0"/>
                      <w:sz w:val="22"/>
                      <w:szCs w:val="22"/>
                      <w:u w:val="none"/>
                      <w:lang w:val="en-US" w:eastAsia="zh-CN" w:bidi="ar"/>
                    </w:rPr>
                    <w:t>一次性使用无菌注射器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0.5ml自毁式</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华文楷体" w:cs="Times New Roman"/>
                      <w:sz w:val="21"/>
                      <w:szCs w:val="21"/>
                      <w:lang w:val="en-US" w:eastAsia="zh-CN"/>
                    </w:rPr>
                  </w:pPr>
                  <w:r>
                    <w:rPr>
                      <w:rFonts w:hint="eastAsia" w:ascii="宋体" w:hAnsi="宋体" w:eastAsia="宋体" w:cs="宋体"/>
                      <w:i w:val="0"/>
                      <w:iCs w:val="0"/>
                      <w:color w:val="000000"/>
                      <w:kern w:val="0"/>
                      <w:sz w:val="24"/>
                      <w:szCs w:val="24"/>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1ml 0.5*16</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2ml 0.7*32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5ml 0.7*32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10ml 1.2*35</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30ml 1.2*35</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4"/>
                      <w:szCs w:val="24"/>
                      <w:u w:val="none"/>
                      <w:lang w:val="en-US" w:eastAsia="zh-CN" w:bidi="ar"/>
                    </w:rPr>
                    <w:t>50ml 1.2*35</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2"/>
                      <w:szCs w:val="22"/>
                      <w:u w:val="none"/>
                      <w:lang w:val="en-US" w:eastAsia="zh-CN" w:bidi="ar"/>
                    </w:rPr>
                    <w:t>一次性使用配药用注射器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仿宋" w:hAnsi="仿宋" w:eastAsia="仿宋" w:cs="仿宋"/>
                      <w:i w:val="0"/>
                      <w:iCs w:val="0"/>
                      <w:color w:val="000000"/>
                      <w:kern w:val="0"/>
                      <w:sz w:val="22"/>
                      <w:szCs w:val="22"/>
                      <w:u w:val="none"/>
                      <w:lang w:val="en-US" w:eastAsia="zh-CN" w:bidi="ar"/>
                    </w:rPr>
                    <w:t>20ml 1.6*38侧孔针</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30.85</w:t>
                  </w:r>
                </w:p>
              </w:tc>
            </w:tr>
            <w:bookmarkEnd w:id="36"/>
          </w:tbl>
          <w:p>
            <w:pPr>
              <w:adjustRightInd w:val="0"/>
              <w:spacing w:line="240" w:lineRule="atLeast"/>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3.3</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shd w:val="clear" w:color="auto" w:fill="auto"/>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4、技术部分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评审F2</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（满分40分）</w:t>
            </w:r>
          </w:p>
        </w:tc>
        <w:tc>
          <w:tcPr>
            <w:tcW w:w="6588" w:type="dxa"/>
            <w:gridSpan w:val="2"/>
            <w:shd w:val="clear" w:color="auto" w:fill="auto"/>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1.技术指标评审(满分20分)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技术指标：1.品规齐全</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2.</w:t>
            </w:r>
            <w:r>
              <w:rPr>
                <w:rFonts w:hint="eastAsia" w:ascii="华文楷体" w:hAnsi="华文楷体" w:eastAsia="华文楷体" w:cs="华文楷体"/>
                <w:szCs w:val="21"/>
                <w:lang w:val="en-US" w:eastAsia="zh-CN"/>
              </w:rPr>
              <w:t>符合国家标注</w:t>
            </w:r>
            <w:r>
              <w:rPr>
                <w:rFonts w:hint="eastAsia" w:ascii="华文楷体" w:hAnsi="华文楷体" w:eastAsia="华文楷体" w:cs="华文楷体"/>
                <w:szCs w:val="21"/>
              </w:rPr>
              <w:t>。技术指标每条不满足扣10分。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2.样品评审(满分15分)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样品规格提供齐全、外观完好、质量优越、材质精良、设计精致、标识完整，得 10-15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样品规格提供基本齐全、外观普通、质量材质粗糙、样品外观无明显瑕疵或变形、设计正常，得 5-9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外观粗糙、设计粗劣，材质粗糙、样品外观存在瑕疵或变形，得 0-4 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3.响应材料评审（满分5分）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响应人所投产品的技术文档，包含但不限于1.产品质量和企业管理体系认证质量管理体系认证包括FDA、CE、ISO等认证；2.其他证书：产品在技术、节能、安全、环保和自主创新方面获得的认证证书或制造厂家和产品所获国家级荣誉称号等复印或扫描件；3.产品说明书或与响应产品一致的彩页资料和其他有关介绍资料。提供齐全、详细、表述准确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得4-5分；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响应人所投产品的技术文档（同上档次内容）提供基本齐全、表述粗略、简单</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得2-3分；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响应人所投产品的技术文档（同上档次内容）提供不全、表述不完整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5、商务部分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评审F3</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1.耗材供应保障情况评分（满分20分）</w:t>
            </w:r>
          </w:p>
          <w:p>
            <w:pPr>
              <w:snapToGrid w:val="0"/>
              <w:spacing w:line="240" w:lineRule="atLeast"/>
              <w:jc w:val="left"/>
              <w:rPr>
                <w:rFonts w:hint="eastAsia" w:ascii="华文楷体" w:hAnsi="华文楷体" w:eastAsia="华文楷体" w:cs="华文楷体"/>
                <w:szCs w:val="21"/>
                <w:lang w:eastAsia="zh-CN"/>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耗材供应保障能力较强，供货响应迅速，响应人对采购人配合度较高，响应人有充足的备货量，有完善的备货预警机制，有可行的紧急调货预案</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得14-20分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耗材供应保障能力一般，供货及时，响应人对采购人配合度一般，有一定数量的备货；有备货预警机制，但该机制不完善；</w:t>
            </w:r>
            <w:r>
              <w:rPr>
                <w:rFonts w:hint="eastAsia" w:ascii="华文楷体" w:hAnsi="华文楷体" w:eastAsia="华文楷体" w:cs="华文楷体"/>
                <w:szCs w:val="21"/>
                <w:lang w:val="en-US" w:eastAsia="zh-CN"/>
              </w:rPr>
              <w:t>有</w:t>
            </w:r>
            <w:r>
              <w:rPr>
                <w:rFonts w:hint="eastAsia" w:ascii="华文楷体" w:hAnsi="华文楷体" w:eastAsia="华文楷体" w:cs="华文楷体"/>
                <w:szCs w:val="21"/>
              </w:rPr>
              <w:t>紧急调货预案，但该预案可行性不足</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得7-13分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耗材供应保障能力较弱，不能满足采购人需求，响应人对采购人配合度较低</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得0-6分。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2.售后服务（满分5分）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提供完善的售后服务方案，至少包括性能验证、投诉处理、不良事件处理、售后服务流程、响应/处理时间、负责人及负责人电话、质量监管及处罚等。方案合理、操作性强，且切实可行。</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售后服务方案全面、合理可行，方案安排科学合理、可操作性强</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得4-5分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售后服务方案可行，方案安排可行，有一定的针对性</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得2-3分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售后服务方案有明显瑕疵，方案安排有瑕疵</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得0-1分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3.类似产品销售业绩（满分5分）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szCs w:val="21"/>
              </w:rPr>
              <w:t>近三年（2019年至今）类似产品销售业绩（供货凭证、中标通知、合同等）注：业绩的有效时间以证明文件的时间为准，提供一项得1分，增加一项，加1分，加满为止。</w:t>
            </w:r>
          </w:p>
        </w:tc>
      </w:tr>
    </w:tbl>
    <w:p>
      <w:pPr>
        <w:pStyle w:val="3"/>
        <w:outlineLvl w:val="1"/>
        <w:rPr>
          <w:rFonts w:ascii="华文楷体" w:hAnsi="华文楷体" w:eastAsia="华文楷体" w:cs="华文楷体"/>
          <w:sz w:val="24"/>
        </w:rPr>
      </w:pPr>
      <w:bookmarkStart w:id="28" w:name="_Toc16081"/>
      <w:bookmarkStart w:id="29" w:name="_Toc16028"/>
      <w:r>
        <w:rPr>
          <w:rFonts w:hint="eastAsia" w:ascii="华文楷体" w:hAnsi="华文楷体" w:eastAsia="华文楷体" w:cs="华文楷体"/>
          <w:sz w:val="24"/>
        </w:rPr>
        <w:t>一、</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华文楷体" w:hAnsi="华文楷体" w:eastAsia="华文楷体" w:cs="华文楷体"/>
          <w:b w:val="0"/>
          <w:bCs w:val="0"/>
          <w:sz w:val="24"/>
        </w:rPr>
      </w:pPr>
      <w:r>
        <w:rPr>
          <w:rFonts w:hint="eastAsia" w:ascii="华文楷体" w:hAnsi="华文楷体" w:eastAsia="华文楷体" w:cs="华文楷体"/>
          <w:b w:val="0"/>
          <w:bCs w:val="0"/>
          <w:sz w:val="24"/>
          <w:lang w:eastAsia="zh-CN"/>
        </w:rPr>
        <w:t>评审小组</w:t>
      </w:r>
      <w:r>
        <w:rPr>
          <w:rFonts w:ascii="华文楷体" w:hAnsi="华文楷体" w:eastAsia="华文楷体" w:cs="华文楷体"/>
          <w:b w:val="0"/>
          <w:bCs w:val="0"/>
          <w:sz w:val="24"/>
        </w:rPr>
        <w:t>对满足</w:t>
      </w:r>
      <w:r>
        <w:rPr>
          <w:rFonts w:hint="eastAsia" w:ascii="华文楷体" w:hAnsi="华文楷体" w:eastAsia="华文楷体" w:cs="华文楷体"/>
          <w:b w:val="0"/>
          <w:bCs w:val="0"/>
          <w:sz w:val="24"/>
          <w:lang w:eastAsia="zh-CN"/>
        </w:rPr>
        <w:t>采购</w:t>
      </w:r>
      <w:r>
        <w:rPr>
          <w:rFonts w:ascii="华文楷体" w:hAnsi="华文楷体" w:eastAsia="华文楷体" w:cs="华文楷体"/>
          <w:b w:val="0"/>
          <w:bCs w:val="0"/>
          <w:sz w:val="24"/>
        </w:rPr>
        <w:t>文件全部实质性要求（即通过资格性评审及符合性评审）的</w:t>
      </w:r>
      <w:r>
        <w:rPr>
          <w:rFonts w:hint="eastAsia" w:ascii="华文楷体" w:hAnsi="华文楷体" w:eastAsia="华文楷体" w:cs="华文楷体"/>
          <w:b w:val="0"/>
          <w:bCs w:val="0"/>
          <w:sz w:val="24"/>
          <w:lang w:eastAsia="zh-CN"/>
        </w:rPr>
        <w:t>响应</w:t>
      </w:r>
      <w:r>
        <w:rPr>
          <w:rFonts w:ascii="华文楷体" w:hAnsi="华文楷体" w:eastAsia="华文楷体" w:cs="华文楷体"/>
          <w:b w:val="0"/>
          <w:bCs w:val="0"/>
          <w:sz w:val="24"/>
        </w:rPr>
        <w:t>文件，按照本章前附表规定的评分标准进行打分，并按</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总得分计算公式计算</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w:t>
      </w:r>
      <w:r>
        <w:rPr>
          <w:rFonts w:hint="eastAsia" w:ascii="华文楷体" w:hAnsi="华文楷体" w:eastAsia="华文楷体" w:cs="华文楷体"/>
          <w:b w:val="0"/>
          <w:bCs w:val="0"/>
          <w:sz w:val="24"/>
        </w:rPr>
        <w:t>。</w:t>
      </w:r>
    </w:p>
    <w:p>
      <w:pPr>
        <w:pStyle w:val="3"/>
        <w:outlineLvl w:val="1"/>
        <w:rPr>
          <w:rFonts w:ascii="华文楷体" w:hAnsi="华文楷体" w:eastAsia="华文楷体" w:cs="华文楷体"/>
          <w:sz w:val="24"/>
        </w:rPr>
      </w:pPr>
      <w:bookmarkStart w:id="30" w:name="_Toc14948"/>
      <w:bookmarkStart w:id="31" w:name="_Toc28122"/>
      <w:r>
        <w:rPr>
          <w:rFonts w:hint="eastAsia" w:ascii="华文楷体" w:hAnsi="华文楷体" w:eastAsia="华文楷体" w:cs="华文楷体"/>
          <w:sz w:val="24"/>
        </w:rPr>
        <w:t>二、</w:t>
      </w:r>
      <w:r>
        <w:rPr>
          <w:rFonts w:hint="eastAsia" w:ascii="华文楷体" w:hAnsi="华文楷体" w:eastAsia="华文楷体" w:cs="华文楷体"/>
          <w:sz w:val="24"/>
          <w:lang w:eastAsia="zh-CN"/>
        </w:rPr>
        <w:t>评审</w:t>
      </w:r>
      <w:r>
        <w:rPr>
          <w:rFonts w:ascii="华文楷体" w:hAnsi="华文楷体" w:eastAsia="华文楷体" w:cs="华文楷体"/>
          <w:sz w:val="24"/>
        </w:rPr>
        <w:t>程序及标准</w:t>
      </w:r>
      <w:bookmarkEnd w:id="30"/>
      <w:bookmarkEnd w:id="31"/>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1符合性评审</w:t>
      </w:r>
    </w:p>
    <w:p>
      <w:pPr>
        <w:spacing w:line="360" w:lineRule="auto"/>
        <w:rPr>
          <w:rFonts w:ascii="华文楷体" w:hAnsi="华文楷体" w:eastAsia="华文楷体" w:cs="华文楷体"/>
          <w:sz w:val="24"/>
        </w:rPr>
      </w:pPr>
      <w:r>
        <w:rPr>
          <w:rFonts w:ascii="华文楷体" w:hAnsi="华文楷体" w:eastAsia="华文楷体" w:cs="华文楷体"/>
          <w:sz w:val="24"/>
        </w:rPr>
        <w:t>依据</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文件的规定，</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对符合资格的</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文件从有效性、完整性和对</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文件的实质性响应程度等方面进行审查，见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2详细评审</w:t>
      </w:r>
    </w:p>
    <w:p>
      <w:pPr>
        <w:spacing w:line="360" w:lineRule="auto"/>
        <w:rPr>
          <w:rFonts w:ascii="华文楷体" w:hAnsi="华文楷体" w:eastAsia="华文楷体" w:cs="华文楷体"/>
          <w:sz w:val="24"/>
        </w:rPr>
      </w:pPr>
      <w:r>
        <w:rPr>
          <w:rFonts w:ascii="华文楷体" w:hAnsi="华文楷体" w:eastAsia="华文楷体" w:cs="华文楷体"/>
          <w:sz w:val="24"/>
        </w:rPr>
        <w:t>2.1</w:t>
      </w:r>
      <w:r>
        <w:rPr>
          <w:rFonts w:hint="eastAsia" w:ascii="华文楷体" w:hAnsi="华文楷体" w:eastAsia="华文楷体" w:cs="华文楷体"/>
          <w:sz w:val="24"/>
          <w:lang w:eastAsia="zh-CN"/>
        </w:rPr>
        <w:t>评审小组</w:t>
      </w:r>
      <w:r>
        <w:rPr>
          <w:rFonts w:ascii="华文楷体" w:hAnsi="华文楷体" w:eastAsia="华文楷体" w:cs="华文楷体"/>
          <w:sz w:val="24"/>
        </w:rPr>
        <w:t>按照</w:t>
      </w:r>
      <w:r>
        <w:rPr>
          <w:rFonts w:hint="eastAsia" w:ascii="华文楷体" w:hAnsi="华文楷体" w:eastAsia="华文楷体" w:cs="华文楷体"/>
          <w:sz w:val="24"/>
          <w:lang w:eastAsia="zh-CN"/>
        </w:rPr>
        <w:t>采购</w:t>
      </w:r>
      <w:r>
        <w:rPr>
          <w:rFonts w:ascii="华文楷体" w:hAnsi="华文楷体" w:eastAsia="华文楷体" w:cs="华文楷体"/>
          <w:sz w:val="24"/>
        </w:rPr>
        <w:t>文件中规定的</w:t>
      </w:r>
      <w:r>
        <w:rPr>
          <w:rFonts w:hint="eastAsia" w:ascii="华文楷体" w:hAnsi="华文楷体" w:eastAsia="华文楷体" w:cs="华文楷体"/>
          <w:sz w:val="24"/>
          <w:lang w:eastAsia="zh-CN"/>
        </w:rPr>
        <w:t>评审</w:t>
      </w:r>
      <w:r>
        <w:rPr>
          <w:rFonts w:ascii="华文楷体" w:hAnsi="华文楷体" w:eastAsia="华文楷体" w:cs="华文楷体"/>
          <w:sz w:val="24"/>
        </w:rPr>
        <w:t>方法和标准，对符合性审查合格的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文件进行商务和技术评估，综合比较与评价, 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rPr>
          <w:rFonts w:ascii="华文楷体" w:hAnsi="华文楷体" w:eastAsia="华文楷体" w:cs="华文楷体"/>
          <w:sz w:val="24"/>
        </w:rPr>
      </w:pPr>
      <w:r>
        <w:rPr>
          <w:rFonts w:ascii="华文楷体" w:hAnsi="华文楷体" w:eastAsia="华文楷体" w:cs="华文楷体"/>
          <w:sz w:val="24"/>
        </w:rPr>
        <w:t>2.2</w:t>
      </w:r>
      <w:r>
        <w:rPr>
          <w:rFonts w:hint="eastAsia" w:ascii="华文楷体" w:hAnsi="华文楷体" w:eastAsia="华文楷体" w:cs="华文楷体"/>
          <w:sz w:val="24"/>
          <w:lang w:eastAsia="zh-CN"/>
        </w:rPr>
        <w:t>评审小组</w:t>
      </w:r>
      <w:r>
        <w:rPr>
          <w:rFonts w:ascii="华文楷体" w:hAnsi="华文楷体" w:eastAsia="华文楷体" w:cs="华文楷体"/>
          <w:sz w:val="24"/>
        </w:rPr>
        <w:t>各成员要依法独立评审，并对评审意见承担个人责任。对</w:t>
      </w:r>
      <w:r>
        <w:rPr>
          <w:rFonts w:hint="eastAsia" w:ascii="华文楷体" w:hAnsi="华文楷体" w:eastAsia="华文楷体" w:cs="华文楷体"/>
          <w:sz w:val="24"/>
          <w:lang w:eastAsia="zh-CN"/>
        </w:rPr>
        <w:t>响应人</w:t>
      </w:r>
      <w:r>
        <w:rPr>
          <w:rFonts w:ascii="华文楷体" w:hAnsi="华文楷体" w:eastAsia="华文楷体" w:cs="华文楷体"/>
          <w:sz w:val="24"/>
        </w:rPr>
        <w:t>的客观评分项的评分应当一致，对其他需要借助专业知识评判的主观评分项，应当严格按照评分细则公正评分。</w:t>
      </w:r>
    </w:p>
    <w:p>
      <w:pPr>
        <w:spacing w:line="360" w:lineRule="auto"/>
        <w:rPr>
          <w:rFonts w:ascii="华文楷体" w:hAnsi="华文楷体" w:eastAsia="华文楷体" w:cs="华文楷体"/>
          <w:sz w:val="24"/>
        </w:rPr>
      </w:pPr>
      <w:r>
        <w:rPr>
          <w:rFonts w:ascii="华文楷体" w:hAnsi="华文楷体" w:eastAsia="华文楷体" w:cs="华文楷体"/>
          <w:sz w:val="24"/>
        </w:rPr>
        <w:t>2.3</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成员对需要共同认定的事项存在争议的，按照少数服从多数的原则做出结论。持不同意见的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成员应当在</w:t>
      </w:r>
      <w:r>
        <w:rPr>
          <w:rFonts w:hint="eastAsia" w:ascii="华文楷体" w:hAnsi="华文楷体" w:eastAsia="华文楷体" w:cs="华文楷体"/>
          <w:sz w:val="24"/>
          <w:lang w:eastAsia="zh-CN"/>
        </w:rPr>
        <w:t>评审</w:t>
      </w:r>
      <w:r>
        <w:rPr>
          <w:rFonts w:ascii="华文楷体" w:hAnsi="华文楷体" w:eastAsia="华文楷体" w:cs="华文楷体"/>
          <w:sz w:val="24"/>
        </w:rPr>
        <w:t>报告上签署不同意见并说明理由，否则视为同意。</w:t>
      </w:r>
    </w:p>
    <w:p>
      <w:pPr>
        <w:spacing w:line="360" w:lineRule="auto"/>
        <w:rPr>
          <w:rFonts w:ascii="华文楷体" w:hAnsi="华文楷体" w:eastAsia="华文楷体" w:cs="华文楷体"/>
          <w:sz w:val="24"/>
        </w:rPr>
      </w:pPr>
      <w:r>
        <w:rPr>
          <w:rFonts w:ascii="华文楷体" w:hAnsi="华文楷体" w:eastAsia="华文楷体" w:cs="华文楷体"/>
          <w:sz w:val="24"/>
        </w:rPr>
        <w:t>2.4</w:t>
      </w:r>
      <w:r>
        <w:rPr>
          <w:rFonts w:hint="eastAsia" w:ascii="华文楷体" w:hAnsi="华文楷体" w:eastAsia="华文楷体" w:cs="华文楷体"/>
          <w:sz w:val="24"/>
          <w:lang w:eastAsia="zh-CN"/>
        </w:rPr>
        <w:t>响应</w:t>
      </w:r>
      <w:r>
        <w:rPr>
          <w:rFonts w:ascii="华文楷体" w:hAnsi="华文楷体" w:eastAsia="华文楷体" w:cs="华文楷体"/>
          <w:sz w:val="24"/>
        </w:rPr>
        <w:t>文件报价出现前后不一致的，按照下列规定修正：</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2.4.1</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文件中开标一览表（报价表）内容与</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文件中相应内容不一致的，以开标一览表（报价表）为准；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2.4.2</w:t>
      </w:r>
      <w:r>
        <w:rPr>
          <w:rFonts w:ascii="华文楷体" w:hAnsi="华文楷体" w:eastAsia="华文楷体" w:cs="华文楷体"/>
          <w:sz w:val="24"/>
        </w:rPr>
        <w:t>大写金额和小写金额不一致的，以大写金额为准；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2.4.3</w:t>
      </w:r>
      <w:r>
        <w:rPr>
          <w:rFonts w:ascii="华文楷体" w:hAnsi="华文楷体" w:eastAsia="华文楷体" w:cs="华文楷体"/>
          <w:sz w:val="24"/>
        </w:rPr>
        <w:t>单价金额小数点或者百分比有明显错位的，以开标一览表的总价为准，并修改单价；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2.4.4</w:t>
      </w:r>
      <w:r>
        <w:rPr>
          <w:rFonts w:ascii="华文楷体" w:hAnsi="华文楷体" w:eastAsia="华文楷体" w:cs="华文楷体"/>
          <w:sz w:val="24"/>
        </w:rPr>
        <w:t>总价金额与按单价汇总金额不一致的，以单价金额计算结果为准。</w:t>
      </w:r>
      <w:r>
        <w:rPr>
          <w:rFonts w:ascii="华文楷体" w:hAnsi="华文楷体" w:eastAsia="华文楷体" w:cs="华文楷体"/>
          <w:b/>
          <w:bCs/>
          <w:sz w:val="24"/>
        </w:rPr>
        <w:t>所有计算结果均保留小数点后两位</w:t>
      </w:r>
      <w:r>
        <w:rPr>
          <w:rFonts w:ascii="华文楷体" w:hAnsi="华文楷体" w:eastAsia="华文楷体" w:cs="华文楷体"/>
          <w:sz w:val="24"/>
        </w:rPr>
        <w:t>，小数点后第三位“四舍五入”。</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rPr>
        <w:t>5</w:t>
      </w:r>
      <w:r>
        <w:rPr>
          <w:rFonts w:hint="eastAsia" w:ascii="华文楷体" w:hAnsi="华文楷体" w:eastAsia="华文楷体" w:cs="华文楷体"/>
          <w:sz w:val="24"/>
          <w:lang w:eastAsia="zh-CN"/>
        </w:rPr>
        <w:t>评审小组</w:t>
      </w:r>
      <w:r>
        <w:rPr>
          <w:rFonts w:ascii="华文楷体" w:hAnsi="华文楷体" w:eastAsia="华文楷体" w:cs="华文楷体"/>
          <w:sz w:val="24"/>
        </w:rPr>
        <w:t>认为</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的报价明显低于其他通过符合性审查</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的报价，有可能影响产品质量或者不能诚信履约的，应当要求其在</w:t>
      </w:r>
      <w:r>
        <w:rPr>
          <w:rFonts w:hint="eastAsia" w:ascii="华文楷体" w:hAnsi="华文楷体" w:eastAsia="华文楷体" w:cs="华文楷体"/>
          <w:sz w:val="24"/>
          <w:lang w:eastAsia="zh-CN"/>
        </w:rPr>
        <w:t>评审</w:t>
      </w:r>
      <w:r>
        <w:rPr>
          <w:rFonts w:ascii="华文楷体" w:hAnsi="华文楷体" w:eastAsia="华文楷体" w:cs="华文楷体"/>
          <w:sz w:val="24"/>
        </w:rPr>
        <w:t>现场合理的时间内提供书面说明，必要时提交相关证明材料；</w:t>
      </w:r>
      <w:r>
        <w:rPr>
          <w:rFonts w:hint="eastAsia" w:ascii="华文楷体" w:hAnsi="华文楷体" w:eastAsia="华文楷体" w:cs="华文楷体"/>
          <w:sz w:val="24"/>
          <w:lang w:eastAsia="zh-CN"/>
        </w:rPr>
        <w:t>响应人</w:t>
      </w:r>
      <w:r>
        <w:rPr>
          <w:rFonts w:ascii="华文楷体" w:hAnsi="华文楷体" w:eastAsia="华文楷体" w:cs="华文楷体"/>
          <w:sz w:val="24"/>
        </w:rPr>
        <w:t>不能证明其报价合理性的，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应当将其作为无效</w:t>
      </w:r>
      <w:r>
        <w:rPr>
          <w:rFonts w:hint="eastAsia" w:ascii="华文楷体" w:hAnsi="华文楷体" w:eastAsia="华文楷体" w:cs="华文楷体"/>
          <w:sz w:val="24"/>
          <w:lang w:eastAsia="zh-CN"/>
        </w:rPr>
        <w:t>响应</w:t>
      </w:r>
      <w:r>
        <w:rPr>
          <w:rFonts w:ascii="华文楷体" w:hAnsi="华文楷体" w:eastAsia="华文楷体" w:cs="华文楷体"/>
          <w:sz w:val="24"/>
        </w:rPr>
        <w:t>处理。</w:t>
      </w:r>
    </w:p>
    <w:p>
      <w:pPr>
        <w:pStyle w:val="3"/>
        <w:outlineLvl w:val="1"/>
        <w:rPr>
          <w:rFonts w:ascii="华文楷体" w:hAnsi="华文楷体" w:eastAsia="华文楷体" w:cs="华文楷体"/>
          <w:sz w:val="24"/>
        </w:rPr>
      </w:pPr>
      <w:bookmarkStart w:id="32" w:name="_Toc1631"/>
      <w:bookmarkStart w:id="33" w:name="_Toc25186"/>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文件的澄清</w:t>
      </w:r>
      <w:bookmarkEnd w:id="32"/>
      <w:bookmarkEnd w:id="33"/>
    </w:p>
    <w:p>
      <w:pPr>
        <w:spacing w:line="360" w:lineRule="auto"/>
        <w:rPr>
          <w:rFonts w:ascii="华文楷体" w:hAnsi="华文楷体" w:eastAsia="华文楷体" w:cs="华文楷体"/>
          <w:sz w:val="24"/>
        </w:rPr>
      </w:pPr>
      <w:r>
        <w:rPr>
          <w:rFonts w:ascii="华文楷体" w:hAnsi="华文楷体" w:eastAsia="华文楷体" w:cs="华文楷体"/>
          <w:sz w:val="24"/>
        </w:rPr>
        <w:t>1在</w:t>
      </w:r>
      <w:r>
        <w:rPr>
          <w:rFonts w:hint="eastAsia" w:ascii="华文楷体" w:hAnsi="华文楷体" w:eastAsia="华文楷体" w:cs="华文楷体"/>
          <w:sz w:val="24"/>
          <w:lang w:eastAsia="zh-CN"/>
        </w:rPr>
        <w:t>评审</w:t>
      </w:r>
      <w:r>
        <w:rPr>
          <w:rFonts w:ascii="华文楷体" w:hAnsi="华文楷体" w:eastAsia="华文楷体" w:cs="华文楷体"/>
          <w:sz w:val="24"/>
        </w:rPr>
        <w:t>过程中，</w:t>
      </w:r>
      <w:r>
        <w:rPr>
          <w:rFonts w:hint="eastAsia" w:ascii="华文楷体" w:hAnsi="华文楷体" w:eastAsia="华文楷体" w:cs="华文楷体"/>
          <w:sz w:val="24"/>
          <w:lang w:eastAsia="zh-CN"/>
        </w:rPr>
        <w:t>评审小组</w:t>
      </w:r>
      <w:r>
        <w:rPr>
          <w:rFonts w:ascii="华文楷体" w:hAnsi="华文楷体" w:eastAsia="华文楷体" w:cs="华文楷体"/>
          <w:sz w:val="24"/>
        </w:rPr>
        <w:t>可以书面形式要求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对所提交的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文件中含义不明确、同类问题表述不一致或者有明显文字和计算错误的内容，进行书面澄清或说明。</w:t>
      </w:r>
      <w:r>
        <w:rPr>
          <w:rFonts w:hint="eastAsia" w:ascii="华文楷体" w:hAnsi="华文楷体" w:eastAsia="华文楷体" w:cs="华文楷体"/>
          <w:sz w:val="24"/>
          <w:lang w:eastAsia="zh-CN"/>
        </w:rPr>
        <w:t>评审小组</w:t>
      </w:r>
      <w:r>
        <w:rPr>
          <w:rFonts w:ascii="华文楷体" w:hAnsi="华文楷体" w:eastAsia="华文楷体" w:cs="华文楷体"/>
          <w:sz w:val="24"/>
        </w:rPr>
        <w:t>不接受</w:t>
      </w:r>
      <w:r>
        <w:rPr>
          <w:rFonts w:hint="eastAsia" w:ascii="华文楷体" w:hAnsi="华文楷体" w:eastAsia="华文楷体" w:cs="华文楷体"/>
          <w:sz w:val="24"/>
          <w:lang w:eastAsia="zh-CN"/>
        </w:rPr>
        <w:t>响应人</w:t>
      </w:r>
      <w:r>
        <w:rPr>
          <w:rFonts w:ascii="华文楷体" w:hAnsi="华文楷体" w:eastAsia="华文楷体" w:cs="华文楷体"/>
          <w:sz w:val="24"/>
        </w:rPr>
        <w:t>主动提出的澄清、说明。</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的澄清、说明应当采用书面形式，由法定代表人或其授权的代表签字，澄清事项不得超出</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文件的范围并不得改变</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文件的实质性内容（算术性错误修正的除外）。</w:t>
      </w:r>
      <w:r>
        <w:rPr>
          <w:rFonts w:hint="eastAsia" w:ascii="华文楷体" w:hAnsi="华文楷体" w:eastAsia="华文楷体" w:cs="华文楷体"/>
          <w:sz w:val="24"/>
          <w:lang w:eastAsia="zh-CN"/>
        </w:rPr>
        <w:t>响应人</w:t>
      </w:r>
      <w:r>
        <w:rPr>
          <w:rFonts w:ascii="华文楷体" w:hAnsi="华文楷体" w:eastAsia="华文楷体" w:cs="华文楷体"/>
          <w:sz w:val="24"/>
        </w:rPr>
        <w:t>的书面澄清、说明属于</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文件的组成部分。</w:t>
      </w:r>
    </w:p>
    <w:p>
      <w:pPr>
        <w:spacing w:line="360" w:lineRule="auto"/>
        <w:rPr>
          <w:rFonts w:ascii="华文楷体" w:hAnsi="华文楷体" w:eastAsia="华文楷体" w:cs="华文楷体"/>
          <w:sz w:val="24"/>
        </w:rPr>
      </w:pPr>
      <w:r>
        <w:rPr>
          <w:rFonts w:ascii="华文楷体" w:hAnsi="华文楷体" w:eastAsia="华文楷体" w:cs="华文楷体"/>
          <w:sz w:val="24"/>
        </w:rPr>
        <w:t>3</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w:t>
      </w:r>
      <w:r>
        <w:rPr>
          <w:rFonts w:hint="eastAsia" w:ascii="华文楷体" w:hAnsi="华文楷体" w:eastAsia="华文楷体" w:cs="华文楷体"/>
          <w:sz w:val="24"/>
          <w:lang w:eastAsia="zh-CN"/>
        </w:rPr>
        <w:t>响应人</w:t>
      </w:r>
      <w:r>
        <w:rPr>
          <w:rFonts w:ascii="华文楷体" w:hAnsi="华文楷体" w:eastAsia="华文楷体" w:cs="华文楷体"/>
          <w:sz w:val="24"/>
        </w:rPr>
        <w:t>提交的澄清、说明有疑问的，可以要求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进一步澄清、说明。</w:t>
      </w:r>
    </w:p>
    <w:p>
      <w:pPr>
        <w:pStyle w:val="3"/>
        <w:outlineLvl w:val="1"/>
        <w:rPr>
          <w:rFonts w:ascii="华文楷体" w:hAnsi="华文楷体" w:eastAsia="华文楷体" w:cs="华文楷体"/>
          <w:sz w:val="24"/>
        </w:rPr>
      </w:pPr>
      <w:bookmarkStart w:id="34" w:name="_Toc28117"/>
      <w:bookmarkStart w:id="35" w:name="_Toc14055"/>
      <w:r>
        <w:rPr>
          <w:rFonts w:hint="eastAsia" w:ascii="华文楷体" w:hAnsi="华文楷体" w:eastAsia="华文楷体" w:cs="华文楷体"/>
          <w:sz w:val="24"/>
        </w:rPr>
        <w:t>四、</w:t>
      </w:r>
      <w:r>
        <w:rPr>
          <w:rFonts w:hint="eastAsia" w:ascii="华文楷体" w:hAnsi="华文楷体" w:eastAsia="华文楷体" w:cs="华文楷体"/>
          <w:sz w:val="24"/>
          <w:lang w:eastAsia="zh-CN"/>
        </w:rPr>
        <w:t>评审</w:t>
      </w:r>
      <w:r>
        <w:rPr>
          <w:rFonts w:ascii="华文楷体" w:hAnsi="华文楷体" w:eastAsia="华文楷体" w:cs="华文楷体"/>
          <w:sz w:val="24"/>
        </w:rPr>
        <w:t>结果</w:t>
      </w:r>
      <w:bookmarkEnd w:id="34"/>
      <w:bookmarkEnd w:id="35"/>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评审小组</w:t>
      </w:r>
      <w:r>
        <w:rPr>
          <w:rFonts w:hint="eastAsia" w:ascii="华文楷体" w:hAnsi="华文楷体" w:eastAsia="华文楷体" w:cs="华文楷体"/>
          <w:b w:val="0"/>
          <w:bCs w:val="0"/>
          <w:sz w:val="24"/>
        </w:rPr>
        <w:t>按总得分由高到低的顺序推荐第一名为</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选人，第二名为</w:t>
      </w:r>
      <w:r>
        <w:rPr>
          <w:rFonts w:hint="eastAsia" w:ascii="华文楷体" w:hAnsi="华文楷体" w:eastAsia="华文楷体" w:cs="华文楷体"/>
          <w:b w:val="0"/>
          <w:bCs w:val="0"/>
          <w:sz w:val="24"/>
          <w:lang w:val="en-US" w:eastAsia="zh-CN"/>
        </w:rPr>
        <w:t>采购备选</w:t>
      </w:r>
      <w:r>
        <w:rPr>
          <w:rFonts w:hint="eastAsia" w:ascii="华文楷体" w:hAnsi="华文楷体" w:eastAsia="华文楷体" w:cs="华文楷体"/>
          <w:b w:val="0"/>
          <w:bCs w:val="0"/>
          <w:sz w:val="24"/>
        </w:rPr>
        <w:t>人。得分相同的，按响应报价由低到高顺序排序。得分且响应报价相同的并列。响应文件满足本次采购全部实质性要求，且按照评审因素的量化指标评审得分最高的响应人为排名第一的</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w:t>
      </w:r>
      <w:r>
        <w:rPr>
          <w:rFonts w:hint="eastAsia" w:ascii="华文楷体" w:hAnsi="华文楷体" w:eastAsia="华文楷体" w:cs="华文楷体"/>
          <w:b w:val="0"/>
          <w:bCs w:val="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1" w:fontKey="{83498CE8-589D-4A5C-9041-1E888B834B4D}"/>
  </w:font>
  <w:font w:name="方正楷体_GBK">
    <w:panose1 w:val="02000000000000000000"/>
    <w:charset w:val="86"/>
    <w:family w:val="auto"/>
    <w:pitch w:val="default"/>
    <w:sig w:usb0="800002BF" w:usb1="38CF7CFA" w:usb2="00000016" w:usb3="00000000" w:csb0="00040000" w:csb1="00000000"/>
    <w:embedRegular r:id="rId2" w:fontKey="{E901A06F-1FCD-4FDA-9556-50E734A76E64}"/>
  </w:font>
  <w:font w:name="仿宋">
    <w:panose1 w:val="02010609060101010101"/>
    <w:charset w:val="86"/>
    <w:family w:val="modern"/>
    <w:pitch w:val="default"/>
    <w:sig w:usb0="800002BF" w:usb1="38CF7CFA" w:usb2="00000016" w:usb3="00000000" w:csb0="00040001" w:csb1="00000000"/>
    <w:embedRegular r:id="rId3" w:fontKey="{91BE4971-6599-45AE-9987-74E17B8693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TUxMzg3NmY5ZjYyZjAyOGJkZjg5ZDVkMzc0YmYifQ=="/>
  </w:docVars>
  <w:rsids>
    <w:rsidRoot w:val="68ED23A1"/>
    <w:rsid w:val="00183996"/>
    <w:rsid w:val="004D72FC"/>
    <w:rsid w:val="006C5A58"/>
    <w:rsid w:val="00EA7AED"/>
    <w:rsid w:val="01696297"/>
    <w:rsid w:val="018C6DB8"/>
    <w:rsid w:val="03AC1080"/>
    <w:rsid w:val="047D014D"/>
    <w:rsid w:val="05063A65"/>
    <w:rsid w:val="05CB2422"/>
    <w:rsid w:val="06226BEE"/>
    <w:rsid w:val="068F4112"/>
    <w:rsid w:val="09042ECC"/>
    <w:rsid w:val="09075307"/>
    <w:rsid w:val="09CE2DA4"/>
    <w:rsid w:val="0AB954AA"/>
    <w:rsid w:val="0ADA598E"/>
    <w:rsid w:val="0C1338DB"/>
    <w:rsid w:val="0C612D6C"/>
    <w:rsid w:val="0D734E63"/>
    <w:rsid w:val="0E643415"/>
    <w:rsid w:val="0E855FC4"/>
    <w:rsid w:val="0EC67DB4"/>
    <w:rsid w:val="0F9D4B12"/>
    <w:rsid w:val="0F9E7AAB"/>
    <w:rsid w:val="0FA5199F"/>
    <w:rsid w:val="11B11D83"/>
    <w:rsid w:val="12BE1D47"/>
    <w:rsid w:val="12D83014"/>
    <w:rsid w:val="13697223"/>
    <w:rsid w:val="13AC2993"/>
    <w:rsid w:val="13DE46BF"/>
    <w:rsid w:val="14365D9D"/>
    <w:rsid w:val="144F2FB5"/>
    <w:rsid w:val="145372F0"/>
    <w:rsid w:val="15EA738E"/>
    <w:rsid w:val="16401C78"/>
    <w:rsid w:val="16591E84"/>
    <w:rsid w:val="174E378A"/>
    <w:rsid w:val="17621B1C"/>
    <w:rsid w:val="17990AC3"/>
    <w:rsid w:val="185B4CFD"/>
    <w:rsid w:val="19D74CFB"/>
    <w:rsid w:val="1ABE0B46"/>
    <w:rsid w:val="1AEB4C02"/>
    <w:rsid w:val="1AEE6F4C"/>
    <w:rsid w:val="1C89648F"/>
    <w:rsid w:val="1CC81301"/>
    <w:rsid w:val="1CD12633"/>
    <w:rsid w:val="1DAC0F64"/>
    <w:rsid w:val="1DB41365"/>
    <w:rsid w:val="1ED25815"/>
    <w:rsid w:val="203C0637"/>
    <w:rsid w:val="20DB3EAF"/>
    <w:rsid w:val="2159170D"/>
    <w:rsid w:val="21640853"/>
    <w:rsid w:val="221B7BEB"/>
    <w:rsid w:val="2252000B"/>
    <w:rsid w:val="23E11C32"/>
    <w:rsid w:val="23E5533A"/>
    <w:rsid w:val="24073473"/>
    <w:rsid w:val="25ED45CC"/>
    <w:rsid w:val="280963E2"/>
    <w:rsid w:val="284B6511"/>
    <w:rsid w:val="295A7282"/>
    <w:rsid w:val="29DB6845"/>
    <w:rsid w:val="2A1F4715"/>
    <w:rsid w:val="2A4B1276"/>
    <w:rsid w:val="2A601E62"/>
    <w:rsid w:val="2ADE7ED4"/>
    <w:rsid w:val="2AE714EE"/>
    <w:rsid w:val="2AF20BB1"/>
    <w:rsid w:val="2B02159F"/>
    <w:rsid w:val="2C0B4C88"/>
    <w:rsid w:val="2E335F99"/>
    <w:rsid w:val="2F7A4730"/>
    <w:rsid w:val="31261223"/>
    <w:rsid w:val="31871B4D"/>
    <w:rsid w:val="31AF140A"/>
    <w:rsid w:val="31D06B2D"/>
    <w:rsid w:val="31ED5FEB"/>
    <w:rsid w:val="32110677"/>
    <w:rsid w:val="32291EC6"/>
    <w:rsid w:val="323B3CAF"/>
    <w:rsid w:val="3257620E"/>
    <w:rsid w:val="32691E1B"/>
    <w:rsid w:val="327B0B4B"/>
    <w:rsid w:val="32DF0A54"/>
    <w:rsid w:val="338225B9"/>
    <w:rsid w:val="344528F5"/>
    <w:rsid w:val="35191A11"/>
    <w:rsid w:val="35211D9B"/>
    <w:rsid w:val="371500A9"/>
    <w:rsid w:val="381F418F"/>
    <w:rsid w:val="38E72CA7"/>
    <w:rsid w:val="39DE67D4"/>
    <w:rsid w:val="3A994B5D"/>
    <w:rsid w:val="3B1251B1"/>
    <w:rsid w:val="3B1F7166"/>
    <w:rsid w:val="3B7B3872"/>
    <w:rsid w:val="3C577B69"/>
    <w:rsid w:val="3C8E29D2"/>
    <w:rsid w:val="3C9A663B"/>
    <w:rsid w:val="3D5974B2"/>
    <w:rsid w:val="3E461AAC"/>
    <w:rsid w:val="3EB23D9E"/>
    <w:rsid w:val="41125031"/>
    <w:rsid w:val="41634E9A"/>
    <w:rsid w:val="41AD2574"/>
    <w:rsid w:val="41F64EA7"/>
    <w:rsid w:val="429C4E23"/>
    <w:rsid w:val="42B66655"/>
    <w:rsid w:val="43807971"/>
    <w:rsid w:val="44B925B3"/>
    <w:rsid w:val="44BE0132"/>
    <w:rsid w:val="44EB30FF"/>
    <w:rsid w:val="451352A6"/>
    <w:rsid w:val="457041C4"/>
    <w:rsid w:val="45E95171"/>
    <w:rsid w:val="46423675"/>
    <w:rsid w:val="47220EF6"/>
    <w:rsid w:val="4852651A"/>
    <w:rsid w:val="491606A8"/>
    <w:rsid w:val="492B27BE"/>
    <w:rsid w:val="49522850"/>
    <w:rsid w:val="4BA47EEA"/>
    <w:rsid w:val="4BBB0C9C"/>
    <w:rsid w:val="4C475CD3"/>
    <w:rsid w:val="4C745061"/>
    <w:rsid w:val="4E056412"/>
    <w:rsid w:val="4F211887"/>
    <w:rsid w:val="4F8D18F2"/>
    <w:rsid w:val="4FEF2F8E"/>
    <w:rsid w:val="500B3C3D"/>
    <w:rsid w:val="50AD62CB"/>
    <w:rsid w:val="52330126"/>
    <w:rsid w:val="528D7BAD"/>
    <w:rsid w:val="53563EF3"/>
    <w:rsid w:val="54E62EC5"/>
    <w:rsid w:val="5509232A"/>
    <w:rsid w:val="56A42CC7"/>
    <w:rsid w:val="579348A0"/>
    <w:rsid w:val="58641B21"/>
    <w:rsid w:val="589241B7"/>
    <w:rsid w:val="59861A37"/>
    <w:rsid w:val="59DE232E"/>
    <w:rsid w:val="5AB407E7"/>
    <w:rsid w:val="5AEC3313"/>
    <w:rsid w:val="5B0C6EC7"/>
    <w:rsid w:val="5B702433"/>
    <w:rsid w:val="5BCF61C0"/>
    <w:rsid w:val="5D2D6307"/>
    <w:rsid w:val="5D45372C"/>
    <w:rsid w:val="5D956ADA"/>
    <w:rsid w:val="5DEF5207"/>
    <w:rsid w:val="5DFA58AF"/>
    <w:rsid w:val="5E286656"/>
    <w:rsid w:val="5EAE3D6B"/>
    <w:rsid w:val="5F2A6567"/>
    <w:rsid w:val="5F833E6F"/>
    <w:rsid w:val="5FAE3A14"/>
    <w:rsid w:val="600A22E9"/>
    <w:rsid w:val="61DD16C6"/>
    <w:rsid w:val="632E6AB0"/>
    <w:rsid w:val="63464119"/>
    <w:rsid w:val="6379145E"/>
    <w:rsid w:val="64EA46E6"/>
    <w:rsid w:val="65DE429C"/>
    <w:rsid w:val="660C7F1F"/>
    <w:rsid w:val="67710F5B"/>
    <w:rsid w:val="67D53C16"/>
    <w:rsid w:val="681761A6"/>
    <w:rsid w:val="688370C4"/>
    <w:rsid w:val="68C71A5D"/>
    <w:rsid w:val="68ED23A1"/>
    <w:rsid w:val="698B7E77"/>
    <w:rsid w:val="69A513E9"/>
    <w:rsid w:val="6B1E145A"/>
    <w:rsid w:val="6B4E599E"/>
    <w:rsid w:val="6C6C62C2"/>
    <w:rsid w:val="6CDC45D7"/>
    <w:rsid w:val="6CE81170"/>
    <w:rsid w:val="6CEF4F0F"/>
    <w:rsid w:val="6D773236"/>
    <w:rsid w:val="6FD47300"/>
    <w:rsid w:val="7006779F"/>
    <w:rsid w:val="709629D8"/>
    <w:rsid w:val="70AA7461"/>
    <w:rsid w:val="70F62E47"/>
    <w:rsid w:val="71D359E0"/>
    <w:rsid w:val="72862412"/>
    <w:rsid w:val="7334527D"/>
    <w:rsid w:val="73A537A6"/>
    <w:rsid w:val="74165DE6"/>
    <w:rsid w:val="74172592"/>
    <w:rsid w:val="74181AC7"/>
    <w:rsid w:val="754B3E84"/>
    <w:rsid w:val="761A0506"/>
    <w:rsid w:val="778E76C8"/>
    <w:rsid w:val="78C66E6E"/>
    <w:rsid w:val="79100D42"/>
    <w:rsid w:val="79FD69F6"/>
    <w:rsid w:val="7C4D1419"/>
    <w:rsid w:val="7EFE5E90"/>
    <w:rsid w:val="7F9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widowControl w:val="0"/>
      <w:spacing w:after="120"/>
      <w:jc w:val="both"/>
    </w:pPr>
    <w:rPr>
      <w:rFonts w:ascii="Calibri" w:hAnsi="Calibri" w:eastAsia="宋体" w:cs="Times New Roman"/>
      <w:kern w:val="2"/>
      <w:sz w:val="21"/>
      <w:szCs w:val="24"/>
      <w:lang w:val="zh-CN" w:eastAsia="zh-CN" w:bidi="ar-SA"/>
    </w:rPr>
  </w:style>
  <w:style w:type="paragraph" w:styleId="5">
    <w:name w:val="toc 3"/>
    <w:basedOn w:val="1"/>
    <w:next w:val="1"/>
    <w:qFormat/>
    <w:uiPriority w:val="0"/>
    <w:pPr>
      <w:ind w:left="840" w:leftChars="400"/>
    </w:pPr>
  </w:style>
  <w:style w:type="paragraph" w:styleId="6">
    <w:name w:val="Plain Text"/>
    <w:qFormat/>
    <w:uiPriority w:val="0"/>
    <w:pPr>
      <w:widowControl w:val="0"/>
      <w:jc w:val="both"/>
    </w:pPr>
    <w:rPr>
      <w:rFonts w:ascii="宋体" w:hAnsi="Calibri" w:eastAsia="宋体" w:cs="Times New Roman"/>
      <w:kern w:val="2"/>
      <w:sz w:val="21"/>
      <w:lang w:val="en-US" w:eastAsia="zh-CN" w:bidi="ar-SA"/>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5881</Words>
  <Characters>6202</Characters>
  <Lines>70</Lines>
  <Paragraphs>19</Paragraphs>
  <TotalTime>0</TotalTime>
  <ScaleCrop>false</ScaleCrop>
  <LinksUpToDate>false</LinksUpToDate>
  <CharactersWithSpaces>6359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123</dc:creator>
  <cp:lastModifiedBy>龍</cp:lastModifiedBy>
  <dcterms:modified xsi:type="dcterms:W3CDTF">2022-12-26T10:56:26Z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1B69E3945E10427684646D490CABEF56</vt:lpwstr>
  </property>
</Properties>
</file>