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昆明医科大学第二附属医院科研试剂采购管理平台服务需求</w:t>
      </w:r>
    </w:p>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1、入围单位具有面向社会（企业或事业单位等）公开的采购管理平台和自有电子商城，采购管理平台可以开放对接第三方公开的电商平台。</w:t>
      </w:r>
    </w:p>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入围单位具有自主开发的科研试剂采购管理平台，平台支持分析采购支出及预算，可视化展现预算使用情况；支持采购过程及业务全流程管理，包含电子商城采购、询价采购、协议采购、竞争性谈判采购、电子招投标等采购方式；支持仓储全方位管理，出入库管理，仓库盘点及物资领用；平台支持秒级响应，万级用户并发；支持与我院官网、HRP系统及入围单位的电子商城无缝对接。</w:t>
      </w:r>
    </w:p>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3、入围单位平台可以对接第三方公开的电商平台，商品大类应包括科研试剂及与科研相关的耗材。</w:t>
      </w:r>
    </w:p>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4、入围单位应遵守及认可招标人后续针对本项目入围单位所制定的相关电商管理办法及制度。</w:t>
      </w:r>
    </w:p>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5、入围单位应指定专人负责配合参与招标人每次发起的采购活动，并在招标人后续建设相关企业电商超市平台过程中配合完善系统相关流程及数据对接工作，满足货物上架推送等功能要求。</w:t>
      </w:r>
    </w:p>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6、入围单位针对科研试剂采购需要承诺所提供平台至少有3000个以上品类的科研试剂商品可供院方比选，并对现有供应商和符合医院采购资质要求的供应商无限制入驻条件。</w:t>
      </w:r>
    </w:p>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7、入围单位还应提供优质的售后服务，由专人负责，并提供售后服务方案，售后响应时间要求为7*24小时。</w:t>
      </w:r>
    </w:p>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8、按医院流程管理制度为医院开发设计并提供科研试剂采购管理系统服务。</w:t>
      </w:r>
    </w:p>
    <w:p>
      <w:pPr>
        <w:spacing w:line="4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9、服务时间为三年，年度考核不合格院方有权终止合作。</w:t>
      </w:r>
    </w:p>
    <w:tbl>
      <w:tblPr>
        <w:tblStyle w:val="4"/>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694"/>
        <w:gridCol w:w="7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7" w:type="dxa"/>
            <w:tcBorders>
              <w:tl2br w:val="nil"/>
              <w:tr2bl w:val="nil"/>
            </w:tcBorders>
            <w:vAlign w:val="center"/>
          </w:tcPr>
          <w:p>
            <w:pPr>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条款号</w:t>
            </w:r>
          </w:p>
        </w:tc>
        <w:tc>
          <w:tcPr>
            <w:tcW w:w="1694" w:type="dxa"/>
            <w:tcBorders>
              <w:tl2br w:val="nil"/>
              <w:tr2bl w:val="nil"/>
            </w:tcBorders>
            <w:vAlign w:val="center"/>
          </w:tcPr>
          <w:p>
            <w:pPr>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评分因素</w:t>
            </w:r>
          </w:p>
        </w:tc>
        <w:tc>
          <w:tcPr>
            <w:tcW w:w="7891" w:type="dxa"/>
            <w:tcBorders>
              <w:tl2br w:val="nil"/>
              <w:tr2bl w:val="nil"/>
            </w:tcBorders>
            <w:vAlign w:val="center"/>
          </w:tcPr>
          <w:p>
            <w:pPr>
              <w:jc w:val="center"/>
              <w:rPr>
                <w:rFonts w:hint="eastAsia" w:ascii="方正仿宋_GBK" w:hAnsi="方正仿宋_GBK" w:eastAsia="方正仿宋_GBK" w:cs="方正仿宋_GBK"/>
                <w:b/>
                <w:bCs/>
                <w:highlight w:val="none"/>
              </w:rPr>
            </w:pPr>
            <w:r>
              <w:rPr>
                <w:rFonts w:hint="eastAsia" w:ascii="方正仿宋_GBK" w:hAnsi="方正仿宋_GBK" w:eastAsia="方正仿宋_GBK" w:cs="方正仿宋_GBK"/>
                <w:b/>
                <w:bCs/>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007" w:type="dxa"/>
            <w:tcBorders>
              <w:tl2br w:val="nil"/>
              <w:tr2bl w:val="nil"/>
            </w:tcBorders>
            <w:vAlign w:val="center"/>
          </w:tcPr>
          <w:p>
            <w:pPr>
              <w:jc w:val="center"/>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1</w:t>
            </w:r>
          </w:p>
        </w:tc>
        <w:tc>
          <w:tcPr>
            <w:tcW w:w="1694" w:type="dxa"/>
            <w:tcBorders>
              <w:tl2br w:val="nil"/>
              <w:tr2bl w:val="nil"/>
            </w:tcBorders>
            <w:vAlign w:val="center"/>
          </w:tcPr>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响应文件内容完整性和编制水平</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（满分5分）</w:t>
            </w:r>
          </w:p>
        </w:tc>
        <w:tc>
          <w:tcPr>
            <w:tcW w:w="7891" w:type="dxa"/>
            <w:tcBorders>
              <w:tl2br w:val="nil"/>
              <w:tr2bl w:val="nil"/>
            </w:tcBorders>
            <w:vAlign w:val="center"/>
          </w:tcPr>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一个档次(5-4分)：投标文件内容完整、真实、资料齐全、严谨周密，编制水平优（文件层次分明，章节清晰，编码完整，不掉页、缺页、错页，无含义不明确、同类问题表述不一致情况，无明显文字和计算错误的内容等）；</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第二个档次(3-2分)：投标文件内容完整、真实、齐全，编制水平良好；</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第三个档次(1-0分)：投标文件内容基本完整，编制水平一般。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007" w:type="dxa"/>
            <w:tcBorders>
              <w:tl2br w:val="nil"/>
              <w:tr2bl w:val="nil"/>
            </w:tcBorders>
            <w:vAlign w:val="center"/>
          </w:tcPr>
          <w:p>
            <w:pPr>
              <w:jc w:val="center"/>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2</w:t>
            </w:r>
          </w:p>
        </w:tc>
        <w:tc>
          <w:tcPr>
            <w:tcW w:w="1694" w:type="dxa"/>
            <w:tcBorders>
              <w:tl2br w:val="nil"/>
              <w:tr2bl w:val="nil"/>
            </w:tcBorders>
            <w:vAlign w:val="center"/>
          </w:tcPr>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需求评审</w:t>
            </w:r>
          </w:p>
          <w:p>
            <w:pPr>
              <w:pStyle w:val="2"/>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b w:val="0"/>
                <w:bCs w:val="0"/>
                <w:kern w:val="2"/>
                <w:sz w:val="21"/>
                <w:szCs w:val="24"/>
                <w:highlight w:val="none"/>
                <w:lang w:val="en-US" w:eastAsia="zh-CN" w:bidi="ar-SA"/>
              </w:rPr>
              <w:t>（满分20分）</w:t>
            </w:r>
          </w:p>
        </w:tc>
        <w:tc>
          <w:tcPr>
            <w:tcW w:w="7891" w:type="dxa"/>
            <w:tcBorders>
              <w:tl2br w:val="nil"/>
              <w:tr2bl w:val="nil"/>
            </w:tcBorders>
            <w:vAlign w:val="center"/>
          </w:tcPr>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供应商的</w:t>
            </w:r>
            <w:r>
              <w:rPr>
                <w:rFonts w:hint="eastAsia" w:ascii="方正仿宋_GBK" w:hAnsi="方正仿宋_GBK" w:eastAsia="方正仿宋_GBK" w:cs="方正仿宋_GBK"/>
                <w:b/>
                <w:bCs/>
                <w:highlight w:val="none"/>
              </w:rPr>
              <w:t>完全满足</w:t>
            </w:r>
            <w:r>
              <w:rPr>
                <w:rFonts w:hint="eastAsia" w:ascii="方正仿宋_GBK" w:hAnsi="方正仿宋_GBK" w:eastAsia="方正仿宋_GBK" w:cs="方正仿宋_GBK"/>
                <w:highlight w:val="none"/>
              </w:rPr>
              <w:t>文件中“服务要求”要求的，得20分，每有一个缺陷扣2分，分数扣完为止。技术和功能响应未描述或未提供相应支撑材料的，对应项不得分。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4" w:hRule="atLeast"/>
          <w:jc w:val="center"/>
        </w:trPr>
        <w:tc>
          <w:tcPr>
            <w:tcW w:w="1007" w:type="dxa"/>
            <w:tcBorders>
              <w:tl2br w:val="nil"/>
              <w:tr2bl w:val="nil"/>
            </w:tcBorders>
            <w:vAlign w:val="center"/>
          </w:tcPr>
          <w:p>
            <w:pPr>
              <w:jc w:val="center"/>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3</w:t>
            </w:r>
          </w:p>
        </w:tc>
        <w:tc>
          <w:tcPr>
            <w:tcW w:w="1694" w:type="dxa"/>
            <w:tcBorders>
              <w:tl2br w:val="nil"/>
              <w:tr2bl w:val="nil"/>
            </w:tcBorders>
            <w:vAlign w:val="center"/>
          </w:tcPr>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服务方案</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b w:val="0"/>
                <w:bCs w:val="0"/>
                <w:kern w:val="2"/>
                <w:sz w:val="21"/>
                <w:szCs w:val="24"/>
                <w:highlight w:val="none"/>
                <w:lang w:val="en-US" w:eastAsia="zh-CN" w:bidi="ar-SA"/>
              </w:rPr>
              <w:t>（满分15分）</w:t>
            </w:r>
          </w:p>
        </w:tc>
        <w:tc>
          <w:tcPr>
            <w:tcW w:w="7891" w:type="dxa"/>
            <w:tcBorders>
              <w:tl2br w:val="nil"/>
              <w:tr2bl w:val="nil"/>
            </w:tcBorders>
            <w:vAlign w:val="center"/>
          </w:tcPr>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第一档次（</w:t>
            </w:r>
            <w:r>
              <w:rPr>
                <w:rFonts w:hint="eastAsia" w:ascii="方正仿宋_GBK" w:hAnsi="方正仿宋_GBK" w:eastAsia="方正仿宋_GBK" w:cs="方正仿宋_GBK"/>
                <w:highlight w:val="none"/>
                <w:lang w:val="en-US" w:eastAsia="zh-CN"/>
              </w:rPr>
              <w:t>1</w:t>
            </w:r>
            <w:r>
              <w:rPr>
                <w:rFonts w:hint="eastAsia" w:ascii="方正仿宋_GBK" w:hAnsi="方正仿宋_GBK" w:eastAsia="方正仿宋_GBK" w:cs="方正仿宋_GBK"/>
                <w:highlight w:val="none"/>
              </w:rPr>
              <w:t>5-</w:t>
            </w:r>
            <w:r>
              <w:rPr>
                <w:rFonts w:hint="eastAsia" w:ascii="方正仿宋_GBK" w:hAnsi="方正仿宋_GBK" w:eastAsia="方正仿宋_GBK" w:cs="方正仿宋_GBK"/>
                <w:highlight w:val="none"/>
                <w:lang w:val="en-US" w:eastAsia="zh-CN"/>
              </w:rPr>
              <w:t>11</w:t>
            </w:r>
            <w:r>
              <w:rPr>
                <w:rFonts w:hint="eastAsia" w:ascii="方正仿宋_GBK" w:hAnsi="方正仿宋_GBK" w:eastAsia="方正仿宋_GBK" w:cs="方正仿宋_GBK"/>
                <w:highlight w:val="none"/>
              </w:rPr>
              <w:t>分）：供应商全面理解本项目的实施要求，服务内容完全满足本次采购需求；且至少建立了完整可行的项目组织机构、项目进度计划及步骤、项目实施过程管理与风险质量控制机制、服务方式及响应时间、保密措施及承诺，整体方案内容全面、完整、条理清晰、层次分明、重点突出、针对性强、可行性强的；</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第二档次(1</w:t>
            </w:r>
            <w:r>
              <w:rPr>
                <w:rFonts w:hint="eastAsia" w:ascii="方正仿宋_GBK" w:hAnsi="方正仿宋_GBK" w:eastAsia="方正仿宋_GBK" w:cs="方正仿宋_GBK"/>
                <w:highlight w:val="none"/>
                <w:lang w:val="en-US" w:eastAsia="zh-CN"/>
              </w:rPr>
              <w:t>0</w:t>
            </w: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lang w:val="en-US" w:eastAsia="zh-CN"/>
              </w:rPr>
              <w:t>7</w:t>
            </w:r>
            <w:r>
              <w:rPr>
                <w:rFonts w:hint="eastAsia" w:ascii="方正仿宋_GBK" w:hAnsi="方正仿宋_GBK" w:eastAsia="方正仿宋_GBK" w:cs="方正仿宋_GBK"/>
                <w:highlight w:val="none"/>
              </w:rPr>
              <w:t>分)：供应商基本理解本项目的实施要求，服务内容基本满足本次采购需求，建立了可行的项目组织机构、项目进度计划及步骤、项目实施过程管理与风险质量控制机制、服务方式及响应时间、保密措施及承诺，整体方案内容较为全面、完整，条理基本清晰；</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第三档次(</w:t>
            </w:r>
            <w:r>
              <w:rPr>
                <w:rFonts w:hint="eastAsia" w:ascii="方正仿宋_GBK" w:hAnsi="方正仿宋_GBK" w:eastAsia="方正仿宋_GBK" w:cs="方正仿宋_GBK"/>
                <w:highlight w:val="none"/>
                <w:lang w:val="en-US" w:eastAsia="zh-CN"/>
              </w:rPr>
              <w:t>6</w:t>
            </w: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lang w:val="en-US" w:eastAsia="zh-CN"/>
              </w:rPr>
              <w:t>3</w:t>
            </w:r>
            <w:r>
              <w:rPr>
                <w:rFonts w:hint="eastAsia" w:ascii="方正仿宋_GBK" w:hAnsi="方正仿宋_GBK" w:eastAsia="方正仿宋_GBK" w:cs="方正仿宋_GBK"/>
                <w:highlight w:val="none"/>
              </w:rPr>
              <w:t>分)：供应商较为理解本项目的实施要求，服务内容满足本次采购需求，建立了项目组织机构、项目进度计划及步骤、项目实施过程管理与风险质量控制机制、服务方式及响应时间、保密措施及承诺，整体方案内容完整；</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第四档次(</w:t>
            </w:r>
            <w:r>
              <w:rPr>
                <w:rFonts w:hint="eastAsia" w:ascii="方正仿宋_GBK" w:hAnsi="方正仿宋_GBK" w:eastAsia="方正仿宋_GBK" w:cs="方正仿宋_GBK"/>
                <w:highlight w:val="none"/>
                <w:lang w:val="en-US" w:eastAsia="zh-CN"/>
              </w:rPr>
              <w:t>0</w:t>
            </w: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lang w:val="en-US" w:eastAsia="zh-CN"/>
              </w:rPr>
              <w:t>2</w:t>
            </w:r>
            <w:r>
              <w:rPr>
                <w:rFonts w:hint="eastAsia" w:ascii="方正仿宋_GBK" w:hAnsi="方正仿宋_GBK" w:eastAsia="方正仿宋_GBK" w:cs="方正仿宋_GBK"/>
                <w:highlight w:val="none"/>
              </w:rPr>
              <w:t>分)：供应商只是片面理解本项目的实施要求，服务方案没有针对性；</w:t>
            </w:r>
            <w:r>
              <w:rPr>
                <w:rFonts w:hint="eastAsia" w:ascii="方正仿宋_GBK" w:hAnsi="方正仿宋_GBK" w:eastAsia="方正仿宋_GBK" w:cs="方正仿宋_GBK"/>
                <w:highlight w:val="none"/>
                <w:lang w:eastAsia="zh-CN"/>
              </w:rPr>
              <w:t>或</w:t>
            </w:r>
            <w:r>
              <w:rPr>
                <w:rFonts w:hint="eastAsia" w:ascii="方正仿宋_GBK" w:hAnsi="方正仿宋_GBK" w:eastAsia="方正仿宋_GBK" w:cs="方正仿宋_GBK"/>
                <w:highlight w:val="none"/>
              </w:rPr>
              <w:t>未提供服务方案</w:t>
            </w:r>
            <w:r>
              <w:rPr>
                <w:rFonts w:hint="eastAsia" w:ascii="方正仿宋_GBK" w:hAnsi="方正仿宋_GBK" w:eastAsia="方正仿宋_GBK" w:cs="方正仿宋_GBK"/>
                <w:highlight w:val="none"/>
                <w:lang w:eastAsia="zh-CN"/>
              </w:rPr>
              <w:t>的</w:t>
            </w:r>
            <w:r>
              <w:rPr>
                <w:rFonts w:hint="eastAsia" w:ascii="方正仿宋_GBK" w:hAnsi="方正仿宋_GBK" w:eastAsia="方正仿宋_GBK" w:cs="方正仿宋_GBK"/>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007" w:type="dxa"/>
            <w:tcBorders>
              <w:tl2br w:val="nil"/>
              <w:tr2bl w:val="nil"/>
            </w:tcBorders>
            <w:vAlign w:val="center"/>
          </w:tcPr>
          <w:p>
            <w:pPr>
              <w:jc w:val="center"/>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w:t>
            </w:r>
          </w:p>
        </w:tc>
        <w:tc>
          <w:tcPr>
            <w:tcW w:w="1694" w:type="dxa"/>
            <w:tcBorders>
              <w:tl2br w:val="nil"/>
              <w:tr2bl w:val="nil"/>
            </w:tcBorders>
            <w:vAlign w:val="center"/>
          </w:tcPr>
          <w:p>
            <w:pPr>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系统安全水平</w:t>
            </w:r>
          </w:p>
          <w:p>
            <w:pPr>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（满分20分）</w:t>
            </w:r>
          </w:p>
        </w:tc>
        <w:tc>
          <w:tcPr>
            <w:tcW w:w="7891" w:type="dxa"/>
            <w:tcBorders>
              <w:tl2br w:val="nil"/>
              <w:tr2bl w:val="nil"/>
            </w:tcBorders>
            <w:vAlign w:val="center"/>
          </w:tcPr>
          <w:p>
            <w:pPr>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第一个档次(20分)：具备公安部信息系统安全等级保护三级备案证明，需提供截图；</w:t>
            </w:r>
          </w:p>
          <w:p>
            <w:pPr>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第二个档次(10分)：具备公安部信息系统安全等级保护二级备案证明，需提供截图；</w:t>
            </w:r>
          </w:p>
          <w:p>
            <w:pPr>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第三个档次(0分)：无公安部信息系统安全等级保护证明或二级以下。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007" w:type="dxa"/>
            <w:tcBorders>
              <w:tl2br w:val="nil"/>
              <w:tr2bl w:val="nil"/>
            </w:tcBorders>
            <w:vAlign w:val="center"/>
          </w:tcPr>
          <w:p>
            <w:pPr>
              <w:jc w:val="cente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5</w:t>
            </w:r>
          </w:p>
        </w:tc>
        <w:tc>
          <w:tcPr>
            <w:tcW w:w="1694" w:type="dxa"/>
            <w:tcBorders>
              <w:tl2br w:val="nil"/>
              <w:tr2bl w:val="nil"/>
            </w:tcBorders>
            <w:vAlign w:val="center"/>
          </w:tcPr>
          <w:p>
            <w:pPr>
              <w:jc w:val="center"/>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使用便捷性（满分10）</w:t>
            </w:r>
          </w:p>
        </w:tc>
        <w:tc>
          <w:tcPr>
            <w:tcW w:w="7891" w:type="dxa"/>
            <w:tcBorders>
              <w:tl2br w:val="nil"/>
              <w:tr2bl w:val="nil"/>
            </w:tcBorders>
            <w:vAlign w:val="center"/>
          </w:tcPr>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第一个档次(10分)：系统支持PC端(电脑)和移动端(手机</w:t>
            </w:r>
            <w:r>
              <w:rPr>
                <w:rFonts w:hint="eastAsia" w:ascii="方正仿宋_GBK" w:hAnsi="方正仿宋_GBK" w:eastAsia="方正仿宋_GBK" w:cs="方正仿宋_GBK"/>
                <w:color w:val="000000" w:themeColor="text1"/>
                <w:highlight w:val="none"/>
                <w14:textFill>
                  <w14:solidFill>
                    <w14:schemeClr w14:val="tx1"/>
                  </w14:solidFill>
                </w14:textFill>
              </w:rPr>
              <w:t>IOS和Android两个版本</w:t>
            </w:r>
            <w:r>
              <w:rPr>
                <w:rFonts w:hint="eastAsia" w:ascii="方正仿宋_GBK" w:hAnsi="方正仿宋_GBK" w:eastAsia="方正仿宋_GBK" w:cs="方正仿宋_GBK"/>
                <w:highlight w:val="none"/>
              </w:rPr>
              <w:t>)多途径操作，需提供截图及现场演示；</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第二个档次(5分)：系统支持PC端(电脑)和移动端(手机</w:t>
            </w:r>
            <w:r>
              <w:rPr>
                <w:rFonts w:hint="eastAsia" w:ascii="方正仿宋_GBK" w:hAnsi="方正仿宋_GBK" w:eastAsia="方正仿宋_GBK" w:cs="方正仿宋_GBK"/>
                <w:color w:val="000000" w:themeColor="text1"/>
                <w:highlight w:val="none"/>
                <w14:textFill>
                  <w14:solidFill>
                    <w14:schemeClr w14:val="tx1"/>
                  </w14:solidFill>
                </w14:textFill>
              </w:rPr>
              <w:t>IOS或Android任一版本</w:t>
            </w:r>
            <w:r>
              <w:rPr>
                <w:rFonts w:hint="eastAsia" w:ascii="方正仿宋_GBK" w:hAnsi="方正仿宋_GBK" w:eastAsia="方正仿宋_GBK" w:cs="方正仿宋_GBK"/>
                <w:highlight w:val="none"/>
              </w:rPr>
              <w:t>)多途径操作，需提供截图及现场演示；</w:t>
            </w:r>
          </w:p>
          <w:p>
            <w:pPr>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highlight w:val="none"/>
              </w:rPr>
              <w:t>第三个档次(0分)：系统仅支持PC端(电脑)，需提供截图及现场演示。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007" w:type="dxa"/>
            <w:tcBorders>
              <w:tl2br w:val="nil"/>
              <w:tr2bl w:val="nil"/>
            </w:tcBorders>
            <w:vAlign w:val="center"/>
          </w:tcPr>
          <w:p>
            <w:pPr>
              <w:jc w:val="cente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6</w:t>
            </w:r>
          </w:p>
        </w:tc>
        <w:tc>
          <w:tcPr>
            <w:tcW w:w="1694" w:type="dxa"/>
            <w:tcBorders>
              <w:tl2br w:val="nil"/>
              <w:tr2bl w:val="nil"/>
            </w:tcBorders>
            <w:vAlign w:val="center"/>
          </w:tcPr>
          <w:p>
            <w:pPr>
              <w:jc w:val="lef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平台交付计划（满分10分）</w:t>
            </w:r>
          </w:p>
        </w:tc>
        <w:tc>
          <w:tcPr>
            <w:tcW w:w="7891" w:type="dxa"/>
            <w:tcBorders>
              <w:tl2br w:val="nil"/>
              <w:tr2bl w:val="nil"/>
            </w:tcBorders>
            <w:vAlign w:val="center"/>
          </w:tcPr>
          <w:p>
            <w:pPr>
              <w:jc w:val="lef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第一个档次（10-7分）：有完整、明确的平台交付计划；方案完善具体，针对性强，有明确的违约责任承诺；</w:t>
            </w:r>
          </w:p>
          <w:p>
            <w:pPr>
              <w:jc w:val="lef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第二个档次（6-4分）：有规范的平台交付计划；方案具体可行，有一定的针对性，有明确的违约责任承诺；</w:t>
            </w:r>
          </w:p>
          <w:p>
            <w:pPr>
              <w:jc w:val="lef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第三个档次（3-0分）：平台交付计划一般；方案基本可行，但缺乏针对性，违约责任不具体，无平台交付计划或违约责任承诺不明确。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007" w:type="dxa"/>
            <w:tcBorders>
              <w:tl2br w:val="nil"/>
              <w:tr2bl w:val="nil"/>
            </w:tcBorders>
            <w:vAlign w:val="center"/>
          </w:tcPr>
          <w:p>
            <w:pPr>
              <w:jc w:val="center"/>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7</w:t>
            </w:r>
          </w:p>
        </w:tc>
        <w:tc>
          <w:tcPr>
            <w:tcW w:w="1694" w:type="dxa"/>
            <w:tcBorders>
              <w:tl2br w:val="nil"/>
              <w:tr2bl w:val="nil"/>
            </w:tcBorders>
            <w:vAlign w:val="center"/>
          </w:tcPr>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业绩</w:t>
            </w:r>
          </w:p>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(满分5分)</w:t>
            </w:r>
          </w:p>
        </w:tc>
        <w:tc>
          <w:tcPr>
            <w:tcW w:w="7891" w:type="dxa"/>
            <w:tcBorders>
              <w:tl2br w:val="nil"/>
              <w:tr2bl w:val="nil"/>
            </w:tcBorders>
            <w:vAlign w:val="center"/>
          </w:tcPr>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2019年至今向政府或国有性质单位销售的采购管理平台项目，每提供一个得1分，满分5分，未提供不得分。（业绩需2019年至今签订的合同复印件加盖公章作为证明材料）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007" w:type="dxa"/>
            <w:tcBorders>
              <w:tl2br w:val="nil"/>
              <w:tr2bl w:val="nil"/>
            </w:tcBorders>
            <w:vAlign w:val="center"/>
          </w:tcPr>
          <w:p>
            <w:pPr>
              <w:jc w:val="cente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8</w:t>
            </w:r>
          </w:p>
        </w:tc>
        <w:tc>
          <w:tcPr>
            <w:tcW w:w="1694" w:type="dxa"/>
            <w:tcBorders>
              <w:tl2br w:val="nil"/>
              <w:tr2bl w:val="nil"/>
            </w:tcBorders>
            <w:vAlign w:val="center"/>
          </w:tcPr>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采购管理平台和自有商城软件著作权（满分5）</w:t>
            </w:r>
          </w:p>
        </w:tc>
        <w:tc>
          <w:tcPr>
            <w:tcW w:w="7891" w:type="dxa"/>
            <w:tcBorders>
              <w:tl2br w:val="nil"/>
              <w:tr2bl w:val="nil"/>
            </w:tcBorders>
            <w:vAlign w:val="center"/>
          </w:tcPr>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第一个档次(5分)：采购管理平台和自有商城软件著作权有两个以上；</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第二个档次(3分)：采购管理平台和自有商城软件著作权有一个；</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第三个档次(0分)：无采购管理平台和自有商城软件著作权。</w:t>
            </w:r>
          </w:p>
          <w:p>
            <w:pPr>
              <w:jc w:val="left"/>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需要提供软件著作权登记证书复印件并盖章。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007" w:type="dxa"/>
            <w:tcBorders>
              <w:tl2br w:val="nil"/>
              <w:tr2bl w:val="nil"/>
            </w:tcBorders>
            <w:vAlign w:val="center"/>
          </w:tcPr>
          <w:p>
            <w:pPr>
              <w:jc w:val="cente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9</w:t>
            </w:r>
          </w:p>
        </w:tc>
        <w:tc>
          <w:tcPr>
            <w:tcW w:w="1694" w:type="dxa"/>
            <w:tcBorders>
              <w:tl2br w:val="nil"/>
              <w:tr2bl w:val="nil"/>
            </w:tcBorders>
            <w:vAlign w:val="center"/>
          </w:tcPr>
          <w:p>
            <w:pPr>
              <w:jc w:val="center"/>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报价评分</w:t>
            </w:r>
          </w:p>
          <w:p>
            <w:pPr>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（满分</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10分</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tc>
        <w:tc>
          <w:tcPr>
            <w:tcW w:w="7891" w:type="dxa"/>
            <w:tcBorders>
              <w:tl2br w:val="nil"/>
              <w:tr2bl w:val="nil"/>
            </w:tcBorders>
            <w:vAlign w:val="center"/>
          </w:tcPr>
          <w:p>
            <w:pPr>
              <w:jc w:val="left"/>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rPr>
              <w:t>平台收取</w:t>
            </w:r>
            <w:r>
              <w:rPr>
                <w:rFonts w:hint="eastAsia" w:ascii="方正仿宋_GBK" w:hAnsi="方正仿宋_GBK" w:eastAsia="方正仿宋_GBK" w:cs="方正仿宋_GBK"/>
                <w:highlight w:val="none"/>
                <w:lang w:eastAsia="zh-CN"/>
              </w:rPr>
              <w:t>入驻供应商费用对医院透明：</w:t>
            </w:r>
          </w:p>
          <w:p>
            <w:pPr>
              <w:jc w:val="left"/>
              <w:rPr>
                <w:rFonts w:hint="default" w:ascii="方正仿宋_GBK" w:hAnsi="方正仿宋_GBK" w:eastAsia="方正仿宋_GBK" w:cs="方正仿宋_GBK"/>
                <w:highlight w:val="none"/>
                <w:lang w:val="en-US"/>
              </w:rPr>
            </w:pPr>
            <w:r>
              <w:rPr>
                <w:rFonts w:hint="eastAsia" w:ascii="方正仿宋_GBK" w:hAnsi="方正仿宋_GBK" w:eastAsia="方正仿宋_GBK" w:cs="方正仿宋_GBK"/>
                <w:highlight w:val="none"/>
                <w:lang w:val="en-US" w:eastAsia="zh-CN"/>
              </w:rPr>
              <w:t>1.按</w:t>
            </w:r>
            <w:r>
              <w:rPr>
                <w:rFonts w:hint="eastAsia" w:ascii="方正仿宋_GBK" w:hAnsi="方正仿宋_GBK" w:eastAsia="方正仿宋_GBK" w:cs="方正仿宋_GBK"/>
                <w:highlight w:val="none"/>
              </w:rPr>
              <w:t>项目</w:t>
            </w:r>
            <w:r>
              <w:rPr>
                <w:rFonts w:hint="eastAsia" w:ascii="方正仿宋_GBK" w:hAnsi="方正仿宋_GBK" w:eastAsia="方正仿宋_GBK" w:cs="方正仿宋_GBK"/>
                <w:highlight w:val="none"/>
                <w:lang w:eastAsia="zh-CN"/>
              </w:rPr>
              <w:t>招标</w:t>
            </w:r>
            <w:r>
              <w:rPr>
                <w:rFonts w:hint="eastAsia" w:ascii="方正仿宋_GBK" w:hAnsi="方正仿宋_GBK" w:eastAsia="方正仿宋_GBK" w:cs="方正仿宋_GBK"/>
                <w:highlight w:val="none"/>
              </w:rPr>
              <w:t>成交价格</w:t>
            </w:r>
            <w:r>
              <w:rPr>
                <w:rFonts w:hint="eastAsia" w:ascii="方正仿宋_GBK" w:hAnsi="方正仿宋_GBK" w:eastAsia="方正仿宋_GBK" w:cs="方正仿宋_GBK"/>
                <w:highlight w:val="none"/>
                <w:lang w:eastAsia="zh-CN"/>
              </w:rPr>
              <w:t>收取费用的</w:t>
            </w:r>
            <w:r>
              <w:rPr>
                <w:rFonts w:hint="eastAsia" w:ascii="方正仿宋_GBK" w:hAnsi="方正仿宋_GBK" w:eastAsia="方正仿宋_GBK" w:cs="方正仿宋_GBK"/>
                <w:highlight w:val="none"/>
              </w:rPr>
              <w:t>百分比</w:t>
            </w:r>
            <w:r>
              <w:rPr>
                <w:rFonts w:hint="eastAsia" w:ascii="方正仿宋_GBK" w:hAnsi="方正仿宋_GBK" w:eastAsia="方正仿宋_GBK" w:cs="方正仿宋_GBK"/>
                <w:highlight w:val="none"/>
                <w:lang w:eastAsia="zh-CN"/>
              </w:rPr>
              <w:t>由低到高排序，最低的得满分</w:t>
            </w:r>
            <w:r>
              <w:rPr>
                <w:rFonts w:hint="eastAsia" w:ascii="方正仿宋_GBK" w:hAnsi="方正仿宋_GBK" w:eastAsia="方正仿宋_GBK" w:cs="方正仿宋_GBK"/>
                <w:highlight w:val="none"/>
                <w:lang w:val="en-US" w:eastAsia="zh-CN"/>
              </w:rPr>
              <w:t>5分</w:t>
            </w:r>
            <w:r>
              <w:rPr>
                <w:rFonts w:hint="eastAsia" w:ascii="方正仿宋_GBK" w:hAnsi="方正仿宋_GBK" w:eastAsia="方正仿宋_GBK" w:cs="方正仿宋_GBK"/>
                <w:highlight w:val="none"/>
                <w:lang w:eastAsia="zh-CN"/>
              </w:rPr>
              <w:t>，依排序每名次扣减</w:t>
            </w:r>
            <w:r>
              <w:rPr>
                <w:rFonts w:hint="eastAsia" w:ascii="方正仿宋_GBK" w:hAnsi="方正仿宋_GBK" w:eastAsia="方正仿宋_GBK" w:cs="方正仿宋_GBK"/>
                <w:highlight w:val="none"/>
                <w:lang w:val="en-US" w:eastAsia="zh-CN"/>
              </w:rPr>
              <w:t>2分，扣完为止，收费百分比相同的得分相同。</w:t>
            </w:r>
            <w:bookmarkStart w:id="0" w:name="_GoBack"/>
            <w:bookmarkEnd w:id="0"/>
          </w:p>
          <w:p>
            <w:pPr>
              <w:jc w:val="left"/>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lang w:val="en-US" w:eastAsia="zh-CN"/>
              </w:rPr>
              <w:t>2.</w:t>
            </w:r>
            <w:r>
              <w:rPr>
                <w:rFonts w:hint="eastAsia" w:ascii="方正仿宋_GBK" w:hAnsi="方正仿宋_GBK" w:eastAsia="方正仿宋_GBK" w:cs="方正仿宋_GBK"/>
                <w:highlight w:val="none"/>
                <w:lang w:eastAsia="zh-CN"/>
              </w:rPr>
              <w:t>电子商城收取费用（含入驻费用、保证金等全部费用）由低到高排序，最低的得满分</w:t>
            </w:r>
            <w:r>
              <w:rPr>
                <w:rFonts w:hint="eastAsia" w:ascii="方正仿宋_GBK" w:hAnsi="方正仿宋_GBK" w:eastAsia="方正仿宋_GBK" w:cs="方正仿宋_GBK"/>
                <w:highlight w:val="none"/>
                <w:lang w:val="en-US" w:eastAsia="zh-CN"/>
              </w:rPr>
              <w:t>5分</w:t>
            </w:r>
            <w:r>
              <w:rPr>
                <w:rFonts w:hint="eastAsia" w:ascii="方正仿宋_GBK" w:hAnsi="方正仿宋_GBK" w:eastAsia="方正仿宋_GBK" w:cs="方正仿宋_GBK"/>
                <w:highlight w:val="none"/>
                <w:lang w:eastAsia="zh-CN"/>
              </w:rPr>
              <w:t>，依排序每名次扣减</w:t>
            </w:r>
            <w:r>
              <w:rPr>
                <w:rFonts w:hint="eastAsia" w:ascii="方正仿宋_GBK" w:hAnsi="方正仿宋_GBK" w:eastAsia="方正仿宋_GBK" w:cs="方正仿宋_GBK"/>
                <w:highlight w:val="none"/>
                <w:lang w:val="en-US" w:eastAsia="zh-CN"/>
              </w:rPr>
              <w:t>2分，扣完为止，收费相同的得分相同。</w:t>
            </w:r>
          </w:p>
        </w:tc>
      </w:tr>
    </w:tbl>
    <w:p>
      <w:pPr>
        <w:rPr>
          <w:rFonts w:cs="方正仿宋_GBK" w:asciiTheme="minorEastAsia" w:hAnsiTheme="minorEastAsia"/>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97337"/>
    <w:rsid w:val="00002CC7"/>
    <w:rsid w:val="000C0CB2"/>
    <w:rsid w:val="00107150"/>
    <w:rsid w:val="00133E05"/>
    <w:rsid w:val="001C2CD0"/>
    <w:rsid w:val="0098766F"/>
    <w:rsid w:val="00C327AF"/>
    <w:rsid w:val="00E80670"/>
    <w:rsid w:val="00F820DC"/>
    <w:rsid w:val="09033503"/>
    <w:rsid w:val="0BC702A8"/>
    <w:rsid w:val="0C953385"/>
    <w:rsid w:val="11F31634"/>
    <w:rsid w:val="12610B4B"/>
    <w:rsid w:val="12781142"/>
    <w:rsid w:val="144F2FB5"/>
    <w:rsid w:val="154550F5"/>
    <w:rsid w:val="1FA03F15"/>
    <w:rsid w:val="22EE7C1C"/>
    <w:rsid w:val="242705EF"/>
    <w:rsid w:val="256D4D7D"/>
    <w:rsid w:val="2940708D"/>
    <w:rsid w:val="2CDB78ED"/>
    <w:rsid w:val="2FBD4BC4"/>
    <w:rsid w:val="2FEF0EA5"/>
    <w:rsid w:val="311F25BD"/>
    <w:rsid w:val="3AAD4016"/>
    <w:rsid w:val="3FBF66C5"/>
    <w:rsid w:val="40C97337"/>
    <w:rsid w:val="46DA4445"/>
    <w:rsid w:val="493D5A8C"/>
    <w:rsid w:val="49783142"/>
    <w:rsid w:val="596433FD"/>
    <w:rsid w:val="5FE11306"/>
    <w:rsid w:val="601F38AD"/>
    <w:rsid w:val="63D4679E"/>
    <w:rsid w:val="68145509"/>
    <w:rsid w:val="6AED1D20"/>
    <w:rsid w:val="761A0506"/>
    <w:rsid w:val="79390D7A"/>
    <w:rsid w:val="7D693EB4"/>
    <w:rsid w:val="7D8A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394</Words>
  <Characters>2248</Characters>
  <Lines>18</Lines>
  <Paragraphs>5</Paragraphs>
  <TotalTime>39</TotalTime>
  <ScaleCrop>false</ScaleCrop>
  <LinksUpToDate>false</LinksUpToDate>
  <CharactersWithSpaces>2637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2023-04-07T00:38:00Z</dcterms:created>
  <dc:creator>c</dc:creator>
  <cp:lastModifiedBy>cgz</cp:lastModifiedBy>
  <dcterms:modified xsi:type="dcterms:W3CDTF">2023-04-13T02:56:37Z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1AFDD781730942F7A783E6A69763338F</vt:lpwstr>
  </property>
</Properties>
</file>