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微软雅黑"/>
          <w:color w:val="auto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auto"/>
          <w:sz w:val="18"/>
          <w:szCs w:val="18"/>
        </w:rPr>
        <w:t>可配</w:t>
      </w:r>
      <w:r>
        <w:rPr>
          <w:rFonts w:hint="eastAsia" w:ascii="微软雅黑" w:hAnsi="微软雅黑" w:eastAsia="微软雅黑"/>
          <w:color w:val="auto"/>
          <w:sz w:val="18"/>
          <w:szCs w:val="18"/>
        </w:rPr>
        <w:t>2-8℃探头、</w:t>
      </w:r>
      <w:r>
        <w:rPr>
          <w:rFonts w:hint="eastAsia" w:ascii="微软雅黑" w:hAnsi="微软雅黑" w:eastAsia="微软雅黑"/>
          <w:color w:val="auto"/>
          <w:sz w:val="18"/>
          <w:szCs w:val="18"/>
          <w:lang w:val="en-US" w:eastAsia="zh-CN"/>
        </w:rPr>
        <w:t>阴凉</w:t>
      </w:r>
      <w:r>
        <w:rPr>
          <w:rFonts w:hint="eastAsia" w:ascii="微软雅黑" w:hAnsi="微软雅黑" w:eastAsia="微软雅黑"/>
          <w:color w:val="auto"/>
          <w:sz w:val="18"/>
          <w:szCs w:val="18"/>
        </w:rPr>
        <w:t>探头，需要增配时可及时配送</w:t>
      </w:r>
      <w:r>
        <w:rPr>
          <w:rFonts w:hint="eastAsia" w:ascii="微软雅黑" w:hAnsi="微软雅黑" w:eastAsia="微软雅黑"/>
          <w:color w:val="auto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18"/>
          <w:szCs w:val="18"/>
          <w:lang w:val="en-US" w:eastAsia="zh-CN"/>
        </w:rPr>
        <w:t>配送安装前需完成校准并提供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第三方CNAS实验室出具的校准报告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eastAsia="zh-CN"/>
        </w:rPr>
        <w:t>，</w:t>
      </w:r>
      <w:r>
        <w:rPr>
          <w:rFonts w:hint="eastAsia" w:ascii="微软雅黑" w:hAnsi="微软雅黑" w:eastAsia="微软雅黑"/>
          <w:color w:val="auto"/>
          <w:sz w:val="18"/>
          <w:szCs w:val="18"/>
        </w:rPr>
        <w:t>质保</w:t>
      </w:r>
      <w:r>
        <w:rPr>
          <w:rFonts w:hint="eastAsia" w:ascii="微软雅黑" w:hAnsi="微软雅黑" w:eastAsia="微软雅黑"/>
          <w:color w:val="auto"/>
          <w:sz w:val="18"/>
          <w:szCs w:val="18"/>
          <w:lang w:val="en-US" w:eastAsia="zh-CN"/>
        </w:rPr>
        <w:t>至少</w:t>
      </w:r>
      <w:r>
        <w:rPr>
          <w:rFonts w:hint="eastAsia" w:ascii="微软雅黑" w:hAnsi="微软雅黑" w:eastAsia="微软雅黑"/>
          <w:color w:val="auto"/>
          <w:sz w:val="18"/>
          <w:szCs w:val="18"/>
        </w:rPr>
        <w:t>5年</w:t>
      </w:r>
      <w:r>
        <w:rPr>
          <w:rFonts w:hint="eastAsia" w:ascii="微软雅黑" w:hAnsi="微软雅黑" w:eastAsia="微软雅黑"/>
          <w:color w:val="auto"/>
          <w:sz w:val="18"/>
          <w:szCs w:val="18"/>
          <w:lang w:val="en-US" w:eastAsia="zh-CN"/>
        </w:rPr>
        <w:t>期</w:t>
      </w:r>
      <w:r>
        <w:rPr>
          <w:rFonts w:hint="eastAsia" w:ascii="微软雅黑" w:hAnsi="微软雅黑" w:eastAsia="微软雅黑"/>
          <w:color w:val="auto"/>
          <w:sz w:val="18"/>
          <w:szCs w:val="18"/>
        </w:rPr>
        <w:t>无费用。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18"/>
          <w:szCs w:val="18"/>
          <w:highlight w:val="none"/>
        </w:rPr>
        <w:t xml:space="preserve">1 </w:t>
      </w:r>
      <w:r>
        <w:rPr>
          <w:rFonts w:hint="eastAsia" w:ascii="微软雅黑" w:hAnsi="微软雅黑" w:eastAsia="微软雅黑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b/>
          <w:bCs/>
          <w:i w:val="0"/>
          <w:iCs w:val="0"/>
          <w:color w:val="auto"/>
          <w:kern w:val="0"/>
          <w:sz w:val="18"/>
          <w:szCs w:val="18"/>
          <w:highlight w:val="none"/>
        </w:rPr>
        <w:t xml:space="preserve">温湿度采集模块（适用于2-8℃和阴凉温度采集，有温湿度记录)  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电源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需满足以下方式中一种：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220V/50HZ，直流输出模块供电,同时所有采集模块应有后备电池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能够在发生断电事故时保证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采集模块仍然正常运行≥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小时，确保服务器能够检测到温度超限并及时报警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eastAsia="zh-CN"/>
        </w:rPr>
        <w:t>；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（2）电池直接供电无需接电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具备低电量报警功能，在低电量至电量耗尽期间完成免费更换电池（更换服务延续10年期且无费用）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，确保服务器能够检测到温度超限并及时报警。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2 现场温度采集模块配备LCD液晶屏幕显示，能够显示实时温度、电池电量等信息，方便操作人员更好的维护系统监控系统运转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3 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无线通讯模式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信号稳定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4 温度采集范围：-40℃～+85℃，湿度采集范围0%~100%,</w:t>
      </w:r>
    </w:p>
    <w:p>
      <w:pPr>
        <w:autoSpaceDE w:val="0"/>
        <w:autoSpaceDN w:val="0"/>
        <w:adjustRightInd w:val="0"/>
        <w:ind w:firstLine="360" w:firstLineChars="200"/>
        <w:jc w:val="left"/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温度测量精度：±0.5℃；湿度测量精度：±5%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1.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5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可提供第三方</w:t>
      </w:r>
      <w:bookmarkStart w:id="0" w:name="_GoBack"/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CNAS</w:t>
      </w:r>
      <w:bookmarkEnd w:id="0"/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实验室出具的校准报告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1.6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 xml:space="preserve"> 采集设备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本地可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存储&gt;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5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万条数据，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支持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断点续传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1.7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 xml:space="preserve"> 出现异常时设备自身可实现声光报警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3  4G中继模块 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电源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需满足以下方式中一种：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eastAsia="zh-CN"/>
        </w:rPr>
        <w:t>）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220V/50HZ，直流输出模块供电,同时所有采集模块应有后备电池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能够在发生断电事故时保证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采集模块仍然正常运行≥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小时，确保服务器能够检测到温度超限并及时报警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eastAsia="zh-CN"/>
        </w:rPr>
        <w:t>；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（2）电池直接供电无需接电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lang w:val="en-US" w:eastAsia="zh-CN"/>
        </w:rPr>
        <w:t>具备低电量报警功能，在低电量至电量耗尽期间完成免费更换电池（更换服务延续10年期且无费用）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，确保服务器能够检测到温度超限并及时报警。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 xml:space="preserve">2 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</w:rPr>
        <w:t>无线通讯模式</w:t>
      </w:r>
      <w:r>
        <w:rPr>
          <w:rFonts w:hint="eastAsia" w:ascii="微软雅黑" w:hAnsi="微软雅黑" w:eastAsia="微软雅黑" w:cs="宋体"/>
          <w:color w:val="auto"/>
          <w:kern w:val="0"/>
          <w:sz w:val="18"/>
          <w:szCs w:val="18"/>
          <w:highlight w:val="none"/>
          <w:lang w:val="en-US" w:eastAsia="zh-CN"/>
        </w:rPr>
        <w:t>信号稳定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3 数据通过以太网或4G网络上传服务器，同时接入，优先使用4G网络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4 当温度超温或设备出现问题时可向指定用户发送短信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/微信等提醒</w:t>
      </w:r>
    </w:p>
    <w:p>
      <w:pPr>
        <w:autoSpaceDE w:val="0"/>
        <w:autoSpaceDN w:val="0"/>
        <w:adjustRightInd w:val="0"/>
        <w:jc w:val="left"/>
        <w:rPr>
          <w:rFonts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  <w:t>5 可接入用户内网服务器也可接入外网云服务器</w:t>
      </w:r>
    </w:p>
    <w:p>
      <w:pP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ZDY5MzE5ZTExNDE4YzA1YmZkZjQ5ZjNiNjU5NGYifQ=="/>
    <w:docVar w:name="KSO_WPS_MARK_KEY" w:val="4bac095c-33ba-407b-9b71-1f1385ac5206"/>
  </w:docVars>
  <w:rsids>
    <w:rsidRoot w:val="00E9212C"/>
    <w:rsid w:val="001E31BD"/>
    <w:rsid w:val="00447069"/>
    <w:rsid w:val="00701584"/>
    <w:rsid w:val="00A57EE8"/>
    <w:rsid w:val="00DD1944"/>
    <w:rsid w:val="00E74308"/>
    <w:rsid w:val="00E9212C"/>
    <w:rsid w:val="00F5090D"/>
    <w:rsid w:val="05CE1B3C"/>
    <w:rsid w:val="06C9459F"/>
    <w:rsid w:val="07B46AB2"/>
    <w:rsid w:val="0908079E"/>
    <w:rsid w:val="09092DE7"/>
    <w:rsid w:val="09FB40D1"/>
    <w:rsid w:val="0C3F66A6"/>
    <w:rsid w:val="123E6614"/>
    <w:rsid w:val="13B008BD"/>
    <w:rsid w:val="190A7BC2"/>
    <w:rsid w:val="1D116EE3"/>
    <w:rsid w:val="1F0577FB"/>
    <w:rsid w:val="1F4B6242"/>
    <w:rsid w:val="230A3B67"/>
    <w:rsid w:val="240135F1"/>
    <w:rsid w:val="39324A5D"/>
    <w:rsid w:val="413B7F66"/>
    <w:rsid w:val="41D83BF0"/>
    <w:rsid w:val="4F634FF0"/>
    <w:rsid w:val="530C66B8"/>
    <w:rsid w:val="54ED0A38"/>
    <w:rsid w:val="65CC5810"/>
    <w:rsid w:val="6FE6398B"/>
    <w:rsid w:val="709E2BEB"/>
    <w:rsid w:val="77496CCF"/>
    <w:rsid w:val="79604D22"/>
    <w:rsid w:val="7DD2157E"/>
    <w:rsid w:val="7E72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706</Words>
  <Characters>780</Characters>
  <Lines>9</Lines>
  <Paragraphs>2</Paragraphs>
  <TotalTime>3</TotalTime>
  <ScaleCrop>false</ScaleCrop>
  <LinksUpToDate>false</LinksUpToDate>
  <CharactersWithSpaces>800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2023-05-19T02:17:00Z</dcterms:created>
  <dc:creator>XT365</dc:creator>
  <cp:lastModifiedBy>cgz</cp:lastModifiedBy>
  <dcterms:modified xsi:type="dcterms:W3CDTF">2023-05-22T08:19:18Z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7C15118050C24D70A0666CA76B2E3C42</vt:lpwstr>
  </property>
</Properties>
</file>