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napToGrid w:val="0"/>
        <w:spacing w:before="60" w:after="60" w:line="312" w:lineRule="auto"/>
        <w:jc w:val="center"/>
        <w:rPr>
          <w:rFonts w:hint="eastAsia" w:ascii="楷体" w:hAnsi="楷体" w:eastAsia="楷体" w:cs="楷体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val="en-US" w:eastAsia="zh-CN"/>
        </w:rPr>
        <w:t>呼气分析仪技术参数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b/>
          <w:bCs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z w:val="28"/>
          <w:szCs w:val="28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color w:val="333333"/>
          <w:sz w:val="28"/>
          <w:szCs w:val="28"/>
        </w:rPr>
        <w:t>产品标准及认证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1.1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产品注册名称：呼气分析仪；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1.2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产品检测原理：电化学检测原理；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28"/>
          <w:szCs w:val="28"/>
          <w:lang w:val="en-US" w:eastAsia="zh-CN"/>
        </w:rPr>
        <w:t>2.产品功能参数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2.1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呼出气一氧化氮测定：FeNO50在线口呼气测量，FeNO200在线口呼气测量，FnNO在线鼻呼气测量，sNO离线样品气测量；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2.2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★呼出气一氧化碳测定：FeCO在线口呼气测量，sCO离线样品气测量；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2.3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★动态测试曲线，有效呈现测试过程细节，体现一氧化氮测量值的流速依赖特性，保证测试结果准确性；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2.4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★采用分离式单向阀气道设计，无公用气道回路，有效克服交叉感染风险；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2.5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★可实施呼出气一氧化氮/一氧化碳联合测定功能，一口气测定一氧化氮/一氧化碳指标；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2.6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低噪声，高灵敏度传感器及电路专利设计，保证测试结果准确性；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2.7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流量质控功能：系统自动提醒判断呼吸过程流量控制过强或过弱、吸气超时、呼气超时等错误；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2.8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环境因素质控功能：设备内部具有温度、湿度、大气压标定及调节校准功能，具备一氧化氮（NO）标准气检验与校准，一氧化氮（NO）环境气检验，一氧化碳（CO）标准气检验功能，保证测试结果准确性；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2.9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★具有呼出气一氧化氮测定/呼出气一氧化碳测定功能，可出具呼出气一氧化氮测定/呼出气一氧化碳测定报告；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2.10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辅助测评分析功能：支持慢阻肺、哮喘常用标准随访问卷，出具随访测评报告；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2.11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支持临床表单信息可配置设计，从年龄、性别、症状、肺功能、用药情况等多维度进行智能分析，方便医生进行患者管理以及临床研究的开展；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2.12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★支持患者自助式信息填写功能，有效提高临床诊疗效率；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2.13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具备在线测试模式，离线测试模式、训练模式等多种测试训练方式，有效保证患者正式测量时的成功率</w:t>
      </w:r>
      <w:r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2.14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十</w:t>
      </w: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英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寸电容触摸屏设计，方便携带及床旁使用；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2.15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仪器集成蓝牙传输功能，方便不同场景使用；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2.16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仪器集成WiFi无线传输功能，方便与医院HIS系统对接互联；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2.17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仪器自带智能语音及视频宣教提示功能，方便患者掌握检查要领；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2.18仪器支持NFC功能；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2.19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仪器内置高性能锂电池，方便断电等不同场景使用；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2.20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仪器支持直接连接打印机打印A4报告，方便不同工作场景；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2.21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★仪器集成扫码读取功能，方便临床操作，提高临床诊疗效率；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2.22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图形化交互界面设计，测试时有动态流量、呼气时间等实时提醒，方便临床质控；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2.23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系统可以根据需求扩展云端多中心研究或临床分级诊疗系统</w:t>
      </w:r>
      <w:r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</w:rPr>
        <w:t>注：相应功能需提供相关的报告，专利等证明材料。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28"/>
          <w:szCs w:val="28"/>
          <w:lang w:val="en-US" w:eastAsia="zh-CN"/>
        </w:rPr>
        <w:t>3.产品性能指标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3.1</w:t>
      </w:r>
      <w:r>
        <w:rPr>
          <w:rFonts w:hint="default" w:ascii="楷体" w:hAnsi="楷体" w:eastAsia="楷体" w:cs="楷体"/>
          <w:color w:val="333333"/>
          <w:sz w:val="28"/>
          <w:szCs w:val="28"/>
          <w:lang w:val="en-US" w:eastAsia="zh-CN"/>
        </w:rPr>
        <w:t>★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呼出气一氧化氮测定范围：0～</w:t>
      </w: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000 ppb；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3.2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呼出气一氧化氮准确性：当测定值≤50 ppb时，误差&lt;</w:t>
      </w: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2.5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 xml:space="preserve"> ppb；当测定值&gt;50 ppb时，误差&lt;</w:t>
      </w: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.0%；在测量范围内，检测结果和标准气体浓度线性回归的相关系数r应不小于0.990</w:t>
      </w:r>
      <w:r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3.3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★呼出气一氧化氮重复性：当测量值≤50 ppb时，标准偏差（SD）&lt;</w:t>
      </w: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.5 ppb；测量值＞50 ppb，变异系数（CV）＜</w:t>
      </w: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.0%；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3.4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★呼出气一氧化氮单个测量内测量点重复性：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</w:rPr>
        <w:t>测量值≤50 ppb，标准偏差（SD）＜0.5 ppb；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333333"/>
          <w:sz w:val="28"/>
          <w:szCs w:val="28"/>
        </w:rPr>
        <w:t>测量值＞50 ppb时，变异系数（CV）＜1.0%</w:t>
      </w:r>
      <w:r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3.5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★呼出气一氧化氮检测低限：1.0 ppb</w:t>
      </w:r>
      <w:r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3.6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★呼出气一氧化氮测量时间：小于40秒</w:t>
      </w:r>
      <w:r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3.7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呼出气一氧化碳测定范围：0～250 ppm；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3.8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呼出气一氧化碳准确性：当浓度≤20 ppm时，误差&lt;</w:t>
      </w: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.0 ppm；当浓度&gt;20 ppm时，误差&lt;</w:t>
      </w: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.0%；在测量范围内，检测结果和标准气体浓度线性回归的相关系数r应不小于0.990</w:t>
      </w:r>
      <w:r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3.9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★呼出气一氧化碳重复性：重复性：当浓度≤20 ppm时，标准偏差（SD）＜</w:t>
      </w: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0.6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ppm；当浓度&gt;20 ppm时，变异系数（CV）＜</w:t>
      </w: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.0%</w:t>
      </w:r>
      <w:r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3.10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★呼出气一氧化碳单个测量内测量点重复性：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</w:rPr>
        <w:t>测量值≤20 ppm，标准偏差（SD）＜0.2 ppm；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333333"/>
          <w:sz w:val="28"/>
          <w:szCs w:val="28"/>
        </w:rPr>
        <w:t>测量值＞20 ppm时，变异系数（CV）＜1.0%</w:t>
      </w:r>
      <w:r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3.11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呼出气一氧化碳检测低限：1.0 ppm；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3.12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★呼出气一氧化碳测量时间：小于40秒</w:t>
      </w:r>
      <w:r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  <w:t>；</w:t>
      </w:r>
      <w:bookmarkStart w:id="0" w:name="_GoBack"/>
      <w:bookmarkEnd w:id="0"/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3.13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呼出气一氧化氮/呼出气一氧化碳呼气流速：50ml/s、200ml/s</w:t>
      </w:r>
      <w:r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28"/>
          <w:szCs w:val="28"/>
          <w:lang w:val="en-US" w:eastAsia="zh-CN"/>
        </w:rPr>
        <w:t>4.厂家质量体系及服务能力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rFonts w:hint="eastAsia"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4.1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ISO13485 质量体系认证；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0"/>
        <w:jc w:val="left"/>
        <w:rPr>
          <w:color w:val="auto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lang w:val="en-US" w:eastAsia="zh-CN"/>
        </w:rPr>
        <w:t>4.2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省部级重点研究计划成果</w:t>
      </w:r>
      <w:r>
        <w:rPr>
          <w:rFonts w:hint="eastAsia" w:ascii="楷体" w:hAnsi="楷体" w:eastAsia="楷体" w:cs="楷体"/>
          <w:color w:val="333333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E6D6A52"/>
    <w:rsid w:val="3A5C5FE7"/>
    <w:rsid w:val="4F8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7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paragraph" w:styleId="7">
    <w:name w:val="annotation subject"/>
    <w:basedOn w:val="2"/>
    <w:next w:val="2"/>
    <w:link w:val="16"/>
    <w:qFormat/>
    <w:uiPriority w:val="99"/>
    <w:rPr>
      <w:b/>
      <w:bCs/>
    </w:rPr>
  </w:style>
  <w:style w:type="character" w:styleId="10">
    <w:name w:val="annotation reference"/>
    <w:basedOn w:val="9"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paragraph" w:customStyle="1" w:styleId="14">
    <w:name w:val="列表段落2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qFormat/>
    <w:uiPriority w:val="99"/>
  </w:style>
  <w:style w:type="character" w:customStyle="1" w:styleId="16">
    <w:name w:val="批注主题 字符"/>
    <w:basedOn w:val="15"/>
    <w:link w:val="7"/>
    <w:qFormat/>
    <w:uiPriority w:val="99"/>
    <w:rPr>
      <w:b/>
      <w:bCs/>
    </w:rPr>
  </w:style>
  <w:style w:type="character" w:customStyle="1" w:styleId="17">
    <w:name w:val="批注框文本 字符"/>
    <w:basedOn w:val="9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D0F1A-C862-436B-8266-7CF00A0C0B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EL</Company>
  <Pages>2</Pages>
  <Words>1405</Words>
  <Characters>1581</Characters>
  <Paragraphs>55</Paragraphs>
  <TotalTime>26</TotalTime>
  <ScaleCrop>false</ScaleCrop>
  <LinksUpToDate>false</LinksUpToDate>
  <CharactersWithSpaces>1623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2020-12-07T05:54:00Z</dcterms:created>
  <dc:creator>Henry</dc:creator>
  <cp:lastModifiedBy>cgz</cp:lastModifiedBy>
  <dcterms:modified xsi:type="dcterms:W3CDTF">2023-07-24T08:35:20Z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397b3e84b4f14313a1229b9a44d5ec8d</vt:lpwstr>
  </property>
</Properties>
</file>