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宋体" w:hAnsi="宋体" w:cs="黑体"/>
          <w:sz w:val="28"/>
          <w:szCs w:val="28"/>
        </w:rPr>
      </w:pPr>
      <w:bookmarkStart w:id="0" w:name="_Toc24324"/>
      <w:bookmarkStart w:id="1" w:name="_Toc18608"/>
      <w:bookmarkStart w:id="2" w:name="_Toc15175"/>
      <w:r>
        <w:rPr>
          <w:rFonts w:hint="eastAsia" w:ascii="宋体" w:hAnsi="宋体" w:cs="宋体"/>
          <w:sz w:val="24"/>
        </w:rPr>
        <w:t>昆明医科大学第二附属医院</w:t>
      </w:r>
      <w:r>
        <w:rPr>
          <w:rFonts w:hint="eastAsia" w:ascii="宋体" w:hAnsi="宋体" w:cs="宋体"/>
          <w:sz w:val="24"/>
          <w:lang w:eastAsia="zh-CN"/>
        </w:rPr>
        <w:t>卫生信息</w:t>
      </w:r>
      <w:r>
        <w:rPr>
          <w:rFonts w:hint="eastAsia" w:ascii="宋体" w:hAnsi="宋体" w:cs="宋体"/>
          <w:sz w:val="24"/>
        </w:rPr>
        <w:t>专线租用项目技术参数</w:t>
      </w:r>
      <w:bookmarkEnd w:id="0"/>
      <w:bookmarkEnd w:id="1"/>
      <w:bookmarkEnd w:id="2"/>
    </w:p>
    <w:p>
      <w:pPr>
        <w:tabs>
          <w:tab w:val="left" w:pos="126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一、根据</w:t>
      </w:r>
      <w:r>
        <w:rPr>
          <w:rFonts w:hint="eastAsia" w:ascii="宋体" w:hAnsi="宋体" w:cs="宋体"/>
          <w:color w:val="000000"/>
          <w:sz w:val="24"/>
          <w:szCs w:val="24"/>
          <w:lang w:eastAsia="zh-CN"/>
        </w:rPr>
        <w:t>昆明医科大学第二附属医院</w:t>
      </w:r>
      <w:r>
        <w:rPr>
          <w:rFonts w:hint="eastAsia" w:ascii="宋体" w:hAnsi="宋体" w:cs="宋体"/>
          <w:color w:val="000000"/>
          <w:sz w:val="24"/>
          <w:szCs w:val="24"/>
        </w:rPr>
        <w:t>业务</w:t>
      </w:r>
      <w:bookmarkStart w:id="4" w:name="_GoBack"/>
      <w:bookmarkEnd w:id="4"/>
      <w:r>
        <w:rPr>
          <w:rFonts w:hint="eastAsia" w:ascii="宋体" w:hAnsi="宋体" w:cs="宋体"/>
          <w:color w:val="000000"/>
          <w:sz w:val="24"/>
          <w:szCs w:val="24"/>
        </w:rPr>
        <w:t>需求，</w:t>
      </w:r>
      <w:r>
        <w:rPr>
          <w:rFonts w:hint="eastAsia" w:ascii="宋体" w:hAnsi="宋体" w:cs="宋体"/>
          <w:color w:val="auto"/>
          <w:sz w:val="24"/>
          <w:szCs w:val="24"/>
        </w:rPr>
        <w:t>现需采购一条1</w:t>
      </w:r>
      <w:r>
        <w:rPr>
          <w:rFonts w:ascii="宋体" w:hAnsi="宋体" w:cs="宋体"/>
          <w:color w:val="auto"/>
          <w:sz w:val="24"/>
          <w:szCs w:val="24"/>
        </w:rPr>
        <w:t>00</w:t>
      </w:r>
      <w:r>
        <w:rPr>
          <w:rFonts w:hint="eastAsia" w:ascii="宋体" w:hAnsi="宋体" w:cs="宋体"/>
          <w:color w:val="auto"/>
          <w:sz w:val="24"/>
          <w:szCs w:val="24"/>
        </w:rPr>
        <w:t>M数据专线</w:t>
      </w:r>
      <w:r>
        <w:rPr>
          <w:rFonts w:hint="eastAsia" w:ascii="宋体" w:hAnsi="宋体" w:cs="宋体"/>
          <w:color w:val="auto"/>
          <w:sz w:val="24"/>
          <w:szCs w:val="24"/>
          <w:lang w:eastAsia="zh-CN"/>
        </w:rPr>
        <w:t>对接省委建委进行相关业务数据传输</w:t>
      </w:r>
      <w:r>
        <w:rPr>
          <w:rFonts w:hint="eastAsia" w:ascii="宋体" w:hAnsi="宋体" w:cs="宋体"/>
          <w:color w:val="000000"/>
          <w:sz w:val="24"/>
          <w:szCs w:val="24"/>
        </w:rPr>
        <w:t>。</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1、供应商必须保证出租的专线及电路质量符合国家相关标准和规定；采购人租用的专线电路的质量如不符合上述标准的，供应商应负责对该专线及电路予以及时修复、调换。</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2、供应商必须保证与采购人互联的网关路由器至供应商骨干层与其他运营商互联出口路由器的时延和丢包率符合正常的标准。</w:t>
      </w:r>
    </w:p>
    <w:p>
      <w:pPr>
        <w:snapToGrid w:val="0"/>
        <w:spacing w:line="360" w:lineRule="auto"/>
        <w:ind w:firstLine="480" w:firstLineChars="200"/>
        <w:rPr>
          <w:rFonts w:ascii="宋体" w:hAnsi="宋体" w:cs="黑体"/>
          <w:sz w:val="24"/>
          <w:szCs w:val="24"/>
        </w:rPr>
      </w:pPr>
      <w:r>
        <w:rPr>
          <w:rFonts w:hint="eastAsia" w:ascii="宋体" w:hAnsi="宋体" w:cs="黑体"/>
          <w:sz w:val="24"/>
          <w:szCs w:val="24"/>
          <w:lang w:val="en-US" w:eastAsia="zh-CN"/>
        </w:rPr>
        <w:t>3</w:t>
      </w:r>
      <w:r>
        <w:rPr>
          <w:rFonts w:hint="eastAsia" w:ascii="宋体" w:hAnsi="宋体" w:cs="黑体"/>
          <w:sz w:val="24"/>
          <w:szCs w:val="24"/>
        </w:rPr>
        <w:t>、供应商必须提供及时的技术支持，每天24小时、每周7天、全年无休的系统监控及全面性技术支持，100%故障响应率，100%故障恢复率，不低于99%限时故障恢复率（限时时间为4小时）。</w:t>
      </w:r>
    </w:p>
    <w:p>
      <w:pPr>
        <w:snapToGrid w:val="0"/>
        <w:spacing w:line="360" w:lineRule="auto"/>
        <w:ind w:firstLine="480" w:firstLineChars="200"/>
        <w:rPr>
          <w:rFonts w:ascii="宋体" w:hAnsi="宋体" w:cs="黑体"/>
          <w:sz w:val="24"/>
          <w:szCs w:val="24"/>
        </w:rPr>
      </w:pPr>
      <w:r>
        <w:rPr>
          <w:rFonts w:hint="eastAsia" w:ascii="宋体" w:hAnsi="宋体" w:cs="黑体"/>
          <w:sz w:val="24"/>
          <w:szCs w:val="24"/>
          <w:lang w:val="en-US" w:eastAsia="zh-CN"/>
        </w:rPr>
        <w:t>4</w:t>
      </w:r>
      <w:r>
        <w:rPr>
          <w:rFonts w:hint="eastAsia" w:ascii="宋体" w:hAnsi="宋体" w:cs="黑体"/>
          <w:sz w:val="24"/>
          <w:szCs w:val="24"/>
        </w:rPr>
        <w:t>、网络可用性为99.99%。网络可用性是指供应商网内端到端全网能提供无故障时间占运行时间的百分比。</w:t>
      </w:r>
    </w:p>
    <w:p>
      <w:pPr>
        <w:snapToGrid w:val="0"/>
        <w:spacing w:line="360" w:lineRule="auto"/>
        <w:ind w:firstLine="480" w:firstLineChars="200"/>
        <w:rPr>
          <w:rFonts w:ascii="宋体" w:hAnsi="宋体" w:cs="黑体"/>
          <w:sz w:val="24"/>
          <w:szCs w:val="24"/>
        </w:rPr>
      </w:pPr>
      <w:r>
        <w:rPr>
          <w:rFonts w:hint="eastAsia" w:ascii="宋体" w:hAnsi="宋体" w:cs="黑体"/>
          <w:sz w:val="24"/>
          <w:szCs w:val="24"/>
          <w:lang w:val="en-US" w:eastAsia="zh-CN"/>
        </w:rPr>
        <w:t>5</w:t>
      </w:r>
      <w:r>
        <w:rPr>
          <w:rFonts w:hint="eastAsia" w:ascii="宋体" w:hAnsi="宋体" w:cs="黑体"/>
          <w:sz w:val="24"/>
          <w:szCs w:val="24"/>
        </w:rPr>
        <w:t>、供应商网内性能</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（1）从采购人出口网关处至供应商任一设备之间忙时：平均丢包率≤1%，平均延时≤80ms。</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（2）供应商网络与供应商任一设备之间忙时：平均丢包率≤1%，平均延时≤150ms。</w:t>
      </w:r>
    </w:p>
    <w:p>
      <w:pPr>
        <w:snapToGrid w:val="0"/>
        <w:spacing w:line="360" w:lineRule="auto"/>
        <w:ind w:firstLine="480" w:firstLineChars="200"/>
        <w:rPr>
          <w:rFonts w:hint="eastAsia" w:ascii="宋体" w:hAnsi="宋体" w:cs="黑体"/>
          <w:sz w:val="24"/>
          <w:szCs w:val="24"/>
        </w:rPr>
      </w:pPr>
      <w:r>
        <w:rPr>
          <w:rFonts w:hint="eastAsia" w:ascii="宋体" w:hAnsi="宋体" w:cs="黑体"/>
          <w:sz w:val="24"/>
          <w:szCs w:val="24"/>
        </w:rPr>
        <w:t>（</w:t>
      </w:r>
      <w:r>
        <w:rPr>
          <w:rFonts w:ascii="宋体" w:hAnsi="宋体" w:cs="黑体"/>
          <w:sz w:val="24"/>
          <w:szCs w:val="24"/>
        </w:rPr>
        <w:t>3</w:t>
      </w:r>
      <w:r>
        <w:rPr>
          <w:rFonts w:hint="eastAsia" w:ascii="宋体" w:hAnsi="宋体" w:cs="黑体"/>
          <w:sz w:val="24"/>
          <w:szCs w:val="24"/>
        </w:rPr>
        <w:t>）供应商网络与其它运营商互联性能。</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从采购人出口网关处至供应商连接的其它运营商对端联接点：平均丢包率≤1%，平均延时≤150ms。</w:t>
      </w:r>
    </w:p>
    <w:p>
      <w:pPr>
        <w:numPr>
          <w:ilvl w:val="0"/>
          <w:numId w:val="1"/>
        </w:numPr>
        <w:snapToGrid w:val="0"/>
        <w:spacing w:line="360" w:lineRule="auto"/>
        <w:ind w:firstLine="480" w:firstLineChars="200"/>
        <w:rPr>
          <w:rFonts w:ascii="宋体" w:hAnsi="宋体" w:cs="黑体"/>
          <w:sz w:val="24"/>
          <w:szCs w:val="24"/>
        </w:rPr>
      </w:pPr>
      <w:r>
        <w:rPr>
          <w:rFonts w:hint="eastAsia" w:ascii="宋体" w:hAnsi="宋体" w:cs="黑体"/>
          <w:sz w:val="24"/>
          <w:szCs w:val="24"/>
        </w:rPr>
        <w:t>双方互联设备点对点时延要求：平均延时≤10ms。网络质量要求：AAAA级/AAA级。</w:t>
      </w:r>
    </w:p>
    <w:p>
      <w:pPr>
        <w:snapToGrid w:val="0"/>
        <w:spacing w:line="360" w:lineRule="auto"/>
        <w:jc w:val="center"/>
        <w:rPr>
          <w:rFonts w:hint="eastAsia" w:ascii="宋体" w:hAnsi="宋体" w:cs="宋体"/>
          <w:sz w:val="24"/>
          <w:szCs w:val="24"/>
        </w:rPr>
      </w:pPr>
      <w:r>
        <w:rPr>
          <w:rFonts w:hint="eastAsia" w:ascii="宋体" w:hAnsi="宋体" w:cs="宋体"/>
          <w:sz w:val="24"/>
          <w:szCs w:val="24"/>
        </w:rPr>
        <w:t>网络质量要求</w:t>
      </w:r>
    </w:p>
    <w:tbl>
      <w:tblPr>
        <w:tblStyle w:val="5"/>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0"/>
        <w:gridCol w:w="1497"/>
        <w:gridCol w:w="1483"/>
        <w:gridCol w:w="14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1504" w:type="pct"/>
            <w:shd w:val="clear" w:color="auto" w:fill="FFFFFF"/>
            <w:noWrap w:val="0"/>
            <w:vAlign w:val="center"/>
          </w:tcPr>
          <w:p>
            <w:pPr>
              <w:jc w:val="center"/>
              <w:rPr>
                <w:rFonts w:hint="eastAsia" w:ascii="宋体" w:hAnsi="宋体" w:cs="宋体"/>
                <w:bCs/>
                <w:color w:val="000000"/>
                <w:sz w:val="24"/>
                <w:szCs w:val="24"/>
                <w:lang w:bidi="hi-IN"/>
              </w:rPr>
            </w:pPr>
            <w:bookmarkStart w:id="3" w:name="_Hlk132118110"/>
            <w:r>
              <w:rPr>
                <w:rFonts w:hint="eastAsia" w:ascii="宋体" w:hAnsi="宋体" w:cs="宋体"/>
                <w:bCs/>
                <w:color w:val="000000"/>
                <w:sz w:val="24"/>
                <w:szCs w:val="24"/>
                <w:lang w:bidi="hi-IN"/>
              </w:rPr>
              <w:t>指标</w:t>
            </w:r>
          </w:p>
        </w:tc>
        <w:tc>
          <w:tcPr>
            <w:tcW w:w="886" w:type="pct"/>
            <w:shd w:val="clear" w:color="auto" w:fill="FFFFFF"/>
            <w:noWrap/>
            <w:vAlign w:val="center"/>
          </w:tcPr>
          <w:p>
            <w:pPr>
              <w:jc w:val="center"/>
              <w:rPr>
                <w:rFonts w:hint="eastAsia" w:ascii="宋体" w:hAnsi="宋体" w:cs="宋体"/>
                <w:bCs/>
                <w:color w:val="FF0000"/>
                <w:sz w:val="24"/>
                <w:szCs w:val="24"/>
                <w:lang w:bidi="hi-IN"/>
              </w:rPr>
            </w:pPr>
            <w:r>
              <w:rPr>
                <w:rFonts w:hint="eastAsia" w:ascii="宋体" w:hAnsi="宋体" w:cs="宋体"/>
                <w:bCs/>
                <w:color w:val="FF0000"/>
                <w:sz w:val="24"/>
                <w:szCs w:val="24"/>
                <w:lang w:bidi="hi-IN"/>
              </w:rPr>
              <w:t>AAAA级/AAA级</w:t>
            </w:r>
          </w:p>
        </w:tc>
        <w:tc>
          <w:tcPr>
            <w:tcW w:w="878" w:type="pct"/>
            <w:shd w:val="clear" w:color="auto" w:fill="FFFFFF"/>
            <w:noWrap/>
            <w:vAlign w:val="center"/>
          </w:tcPr>
          <w:p>
            <w:pPr>
              <w:jc w:val="center"/>
              <w:rPr>
                <w:rFonts w:hint="eastAsia" w:ascii="宋体" w:hAnsi="宋体" w:cs="宋体"/>
                <w:bCs/>
                <w:color w:val="000000"/>
                <w:sz w:val="24"/>
                <w:szCs w:val="24"/>
                <w:lang w:bidi="hi-IN"/>
              </w:rPr>
            </w:pPr>
            <w:r>
              <w:rPr>
                <w:rFonts w:hint="eastAsia" w:ascii="宋体" w:hAnsi="宋体" w:cs="宋体"/>
                <w:bCs/>
                <w:color w:val="000000"/>
                <w:sz w:val="24"/>
                <w:szCs w:val="24"/>
                <w:lang w:bidi="hi-IN"/>
              </w:rPr>
              <w:t>AA级</w:t>
            </w:r>
          </w:p>
        </w:tc>
        <w:tc>
          <w:tcPr>
            <w:tcW w:w="886" w:type="pct"/>
            <w:shd w:val="clear" w:color="auto" w:fill="FFFFFF"/>
            <w:noWrap/>
            <w:vAlign w:val="center"/>
          </w:tcPr>
          <w:p>
            <w:pPr>
              <w:jc w:val="center"/>
              <w:rPr>
                <w:rFonts w:hint="eastAsia" w:ascii="宋体" w:hAnsi="宋体" w:cs="宋体"/>
                <w:bCs/>
                <w:color w:val="000000"/>
                <w:sz w:val="24"/>
                <w:szCs w:val="24"/>
                <w:lang w:bidi="hi-IN"/>
              </w:rPr>
            </w:pPr>
            <w:r>
              <w:rPr>
                <w:rFonts w:hint="eastAsia" w:ascii="宋体" w:hAnsi="宋体" w:cs="宋体"/>
                <w:bCs/>
                <w:color w:val="000000"/>
                <w:sz w:val="24"/>
                <w:szCs w:val="24"/>
                <w:lang w:bidi="hi-IN"/>
              </w:rPr>
              <w:t>A级</w:t>
            </w:r>
          </w:p>
        </w:tc>
        <w:tc>
          <w:tcPr>
            <w:tcW w:w="843" w:type="pct"/>
            <w:shd w:val="clear" w:color="auto" w:fill="FFFFFF"/>
            <w:noWrap/>
            <w:vAlign w:val="center"/>
          </w:tcPr>
          <w:p>
            <w:pPr>
              <w:jc w:val="center"/>
              <w:rPr>
                <w:rFonts w:hint="eastAsia" w:ascii="宋体" w:hAnsi="宋体" w:cs="宋体"/>
                <w:bCs/>
                <w:color w:val="000000"/>
                <w:sz w:val="24"/>
                <w:szCs w:val="24"/>
                <w:lang w:bidi="hi-IN"/>
              </w:rPr>
            </w:pPr>
            <w:r>
              <w:rPr>
                <w:rFonts w:hint="eastAsia" w:ascii="宋体" w:hAnsi="宋体" w:cs="宋体"/>
                <w:bCs/>
                <w:color w:val="000000"/>
                <w:sz w:val="24"/>
                <w:szCs w:val="24"/>
                <w:lang w:bidi="hi-IN"/>
              </w:rPr>
              <w:t>普通级</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04" w:type="pct"/>
            <w:shd w:val="clear" w:color="auto" w:fill="FFFFFF"/>
            <w:noWrap w:val="0"/>
            <w:vAlign w:val="center"/>
          </w:tcPr>
          <w:p>
            <w:pPr>
              <w:jc w:val="center"/>
              <w:rPr>
                <w:rFonts w:hint="eastAsia" w:ascii="宋体" w:hAnsi="宋体" w:cs="宋体"/>
                <w:bCs/>
                <w:color w:val="000000"/>
                <w:sz w:val="24"/>
                <w:szCs w:val="24"/>
                <w:lang w:bidi="hi-IN"/>
              </w:rPr>
            </w:pPr>
            <w:r>
              <w:rPr>
                <w:rFonts w:hint="eastAsia" w:ascii="宋体" w:hAnsi="宋体" w:cs="宋体"/>
                <w:bCs/>
                <w:color w:val="000000"/>
                <w:sz w:val="24"/>
                <w:szCs w:val="24"/>
                <w:lang w:bidi="hi-IN"/>
              </w:rPr>
              <w:t>同一专线相同故障重复发生次数</w:t>
            </w:r>
          </w:p>
        </w:tc>
        <w:tc>
          <w:tcPr>
            <w:tcW w:w="886" w:type="pct"/>
            <w:shd w:val="clear" w:color="auto" w:fill="FFFFFF"/>
            <w:noWrap/>
            <w:vAlign w:val="center"/>
          </w:tcPr>
          <w:p>
            <w:pPr>
              <w:jc w:val="center"/>
              <w:rPr>
                <w:rFonts w:hint="eastAsia" w:ascii="宋体" w:hAnsi="宋体" w:cs="宋体"/>
                <w:bCs/>
                <w:color w:val="FF0000"/>
                <w:sz w:val="24"/>
                <w:szCs w:val="24"/>
                <w:lang w:bidi="hi-IN"/>
              </w:rPr>
            </w:pPr>
            <w:r>
              <w:rPr>
                <w:rFonts w:hint="eastAsia" w:ascii="宋体" w:hAnsi="宋体" w:cs="宋体"/>
                <w:bCs/>
                <w:color w:val="FF0000"/>
                <w:sz w:val="24"/>
                <w:szCs w:val="24"/>
                <w:lang w:bidi="hi-IN"/>
              </w:rPr>
              <w:t>≤2次/年</w:t>
            </w:r>
          </w:p>
        </w:tc>
        <w:tc>
          <w:tcPr>
            <w:tcW w:w="878" w:type="pct"/>
            <w:shd w:val="clear" w:color="auto" w:fill="FFFFFF"/>
            <w:noWrap/>
            <w:vAlign w:val="center"/>
          </w:tcPr>
          <w:p>
            <w:pPr>
              <w:jc w:val="center"/>
              <w:rPr>
                <w:rFonts w:hint="eastAsia" w:ascii="宋体" w:hAnsi="宋体" w:cs="宋体"/>
                <w:bCs/>
                <w:color w:val="000000"/>
                <w:sz w:val="24"/>
                <w:szCs w:val="24"/>
                <w:lang w:bidi="hi-IN"/>
              </w:rPr>
            </w:pPr>
            <w:r>
              <w:rPr>
                <w:rFonts w:hint="eastAsia" w:ascii="宋体" w:hAnsi="宋体" w:cs="宋体"/>
                <w:bCs/>
                <w:color w:val="000000"/>
                <w:sz w:val="24"/>
                <w:szCs w:val="24"/>
                <w:lang w:bidi="hi-IN"/>
              </w:rPr>
              <w:t>≤3次/年</w:t>
            </w:r>
          </w:p>
        </w:tc>
        <w:tc>
          <w:tcPr>
            <w:tcW w:w="886" w:type="pct"/>
            <w:shd w:val="clear" w:color="auto" w:fill="FFFFFF"/>
            <w:noWrap/>
            <w:vAlign w:val="center"/>
          </w:tcPr>
          <w:p>
            <w:pPr>
              <w:jc w:val="center"/>
              <w:rPr>
                <w:rFonts w:hint="eastAsia" w:ascii="宋体" w:hAnsi="宋体" w:cs="宋体"/>
                <w:bCs/>
                <w:color w:val="000000"/>
                <w:sz w:val="24"/>
                <w:szCs w:val="24"/>
                <w:lang w:bidi="hi-IN"/>
              </w:rPr>
            </w:pPr>
            <w:r>
              <w:rPr>
                <w:rFonts w:hint="eastAsia" w:ascii="宋体" w:hAnsi="宋体" w:cs="宋体"/>
                <w:bCs/>
                <w:color w:val="000000"/>
                <w:sz w:val="24"/>
                <w:szCs w:val="24"/>
                <w:lang w:bidi="hi-IN"/>
              </w:rPr>
              <w:t>≤4次/年</w:t>
            </w:r>
          </w:p>
        </w:tc>
        <w:tc>
          <w:tcPr>
            <w:tcW w:w="843" w:type="pct"/>
            <w:shd w:val="clear" w:color="auto" w:fill="FFFFFF"/>
            <w:noWrap/>
            <w:vAlign w:val="center"/>
          </w:tcPr>
          <w:p>
            <w:pPr>
              <w:jc w:val="center"/>
              <w:rPr>
                <w:rFonts w:hint="eastAsia" w:ascii="宋体" w:hAnsi="宋体" w:cs="宋体"/>
                <w:bCs/>
                <w:color w:val="000000"/>
                <w:sz w:val="24"/>
                <w:szCs w:val="24"/>
                <w:lang w:bidi="hi-IN"/>
              </w:rPr>
            </w:pPr>
            <w:r>
              <w:rPr>
                <w:rFonts w:hint="eastAsia" w:ascii="宋体" w:hAnsi="宋体" w:cs="宋体"/>
                <w:bCs/>
                <w:color w:val="000000"/>
                <w:sz w:val="24"/>
                <w:szCs w:val="24"/>
                <w:lang w:bidi="hi-I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04" w:type="pct"/>
            <w:shd w:val="clear" w:color="auto" w:fill="FFFFFF"/>
            <w:noWrap w:val="0"/>
            <w:vAlign w:val="center"/>
          </w:tcPr>
          <w:p>
            <w:pPr>
              <w:jc w:val="center"/>
              <w:rPr>
                <w:rFonts w:hint="eastAsia" w:ascii="宋体" w:hAnsi="宋体" w:cs="宋体"/>
                <w:bCs/>
                <w:color w:val="000000"/>
                <w:sz w:val="24"/>
                <w:szCs w:val="24"/>
                <w:lang w:bidi="hi-IN"/>
              </w:rPr>
            </w:pPr>
            <w:r>
              <w:rPr>
                <w:rFonts w:hint="eastAsia" w:ascii="宋体" w:hAnsi="宋体" w:cs="宋体"/>
                <w:bCs/>
                <w:color w:val="000000"/>
                <w:sz w:val="24"/>
                <w:szCs w:val="24"/>
              </w:rPr>
              <w:t>同一专线年业务中断历时</w:t>
            </w:r>
          </w:p>
        </w:tc>
        <w:tc>
          <w:tcPr>
            <w:tcW w:w="886" w:type="pct"/>
            <w:shd w:val="clear" w:color="auto" w:fill="FFFFFF"/>
            <w:noWrap/>
            <w:vAlign w:val="center"/>
          </w:tcPr>
          <w:p>
            <w:pPr>
              <w:jc w:val="center"/>
              <w:rPr>
                <w:rFonts w:hint="eastAsia" w:ascii="宋体" w:hAnsi="宋体" w:cs="宋体"/>
                <w:bCs/>
                <w:color w:val="FF0000"/>
                <w:sz w:val="24"/>
                <w:szCs w:val="24"/>
                <w:lang w:bidi="hi-IN"/>
              </w:rPr>
            </w:pPr>
            <w:r>
              <w:rPr>
                <w:rFonts w:hint="eastAsia" w:ascii="宋体" w:hAnsi="宋体" w:cs="宋体"/>
                <w:bCs/>
                <w:color w:val="FF0000"/>
                <w:sz w:val="24"/>
                <w:szCs w:val="24"/>
                <w:lang w:bidi="hi-IN"/>
              </w:rPr>
              <w:t>≤3小时</w:t>
            </w:r>
          </w:p>
        </w:tc>
        <w:tc>
          <w:tcPr>
            <w:tcW w:w="878" w:type="pct"/>
            <w:shd w:val="clear" w:color="auto" w:fill="FFFFFF"/>
            <w:noWrap/>
            <w:vAlign w:val="center"/>
          </w:tcPr>
          <w:p>
            <w:pPr>
              <w:jc w:val="center"/>
              <w:rPr>
                <w:rFonts w:hint="eastAsia" w:ascii="宋体" w:hAnsi="宋体" w:cs="宋体"/>
                <w:bCs/>
                <w:color w:val="000000"/>
                <w:sz w:val="24"/>
                <w:szCs w:val="24"/>
                <w:lang w:bidi="hi-IN"/>
              </w:rPr>
            </w:pPr>
            <w:r>
              <w:rPr>
                <w:rFonts w:hint="eastAsia" w:ascii="宋体" w:hAnsi="宋体" w:cs="宋体"/>
                <w:bCs/>
                <w:color w:val="000000"/>
                <w:sz w:val="24"/>
                <w:szCs w:val="24"/>
                <w:lang w:bidi="hi-IN"/>
              </w:rPr>
              <w:t>≤6小时</w:t>
            </w:r>
          </w:p>
        </w:tc>
        <w:tc>
          <w:tcPr>
            <w:tcW w:w="886" w:type="pct"/>
            <w:shd w:val="clear" w:color="auto" w:fill="FFFFFF"/>
            <w:noWrap/>
            <w:vAlign w:val="center"/>
          </w:tcPr>
          <w:p>
            <w:pPr>
              <w:jc w:val="center"/>
              <w:rPr>
                <w:rFonts w:hint="eastAsia" w:ascii="宋体" w:hAnsi="宋体" w:cs="宋体"/>
                <w:bCs/>
                <w:color w:val="000000"/>
                <w:sz w:val="24"/>
                <w:szCs w:val="24"/>
                <w:lang w:bidi="hi-IN"/>
              </w:rPr>
            </w:pPr>
            <w:r>
              <w:rPr>
                <w:rFonts w:hint="eastAsia" w:ascii="宋体" w:hAnsi="宋体" w:cs="宋体"/>
                <w:bCs/>
                <w:color w:val="000000"/>
                <w:sz w:val="24"/>
                <w:szCs w:val="24"/>
                <w:lang w:bidi="hi-IN"/>
              </w:rPr>
              <w:t>≤12小时</w:t>
            </w:r>
          </w:p>
        </w:tc>
        <w:tc>
          <w:tcPr>
            <w:tcW w:w="843" w:type="pct"/>
            <w:shd w:val="clear" w:color="auto" w:fill="FFFFFF"/>
            <w:noWrap/>
            <w:vAlign w:val="center"/>
          </w:tcPr>
          <w:p>
            <w:pPr>
              <w:jc w:val="center"/>
              <w:rPr>
                <w:rFonts w:hint="eastAsia" w:ascii="宋体" w:hAnsi="宋体" w:cs="宋体"/>
                <w:bCs/>
                <w:color w:val="000000"/>
                <w:sz w:val="24"/>
                <w:szCs w:val="24"/>
                <w:lang w:bidi="hi-IN"/>
              </w:rPr>
            </w:pPr>
            <w:r>
              <w:rPr>
                <w:rFonts w:hint="eastAsia" w:ascii="宋体" w:hAnsi="宋体" w:cs="宋体"/>
                <w:bCs/>
                <w:color w:val="000000"/>
                <w:sz w:val="24"/>
                <w:szCs w:val="24"/>
                <w:lang w:bidi="hi-IN"/>
              </w:rPr>
              <w:t>≤24小时</w:t>
            </w:r>
          </w:p>
        </w:tc>
      </w:tr>
    </w:tbl>
    <w:p>
      <w:pPr>
        <w:pStyle w:val="4"/>
        <w:jc w:val="center"/>
        <w:rPr>
          <w:rFonts w:hint="eastAsia" w:ascii="宋体" w:hAnsi="宋体" w:cs="宋体"/>
          <w:sz w:val="24"/>
          <w:szCs w:val="24"/>
        </w:rPr>
      </w:pPr>
      <w:r>
        <w:rPr>
          <w:rFonts w:hint="eastAsia" w:ascii="宋体" w:hAnsi="宋体" w:cs="宋体"/>
          <w:sz w:val="24"/>
          <w:szCs w:val="24"/>
        </w:rPr>
        <w:t>业务可用率要求</w:t>
      </w:r>
    </w:p>
    <w:tbl>
      <w:tblPr>
        <w:tblStyle w:val="5"/>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06"/>
        <w:gridCol w:w="1000"/>
        <w:gridCol w:w="1000"/>
        <w:gridCol w:w="1000"/>
        <w:gridCol w:w="1000"/>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1991" w:type="pct"/>
            <w:vMerge w:val="restart"/>
            <w:shd w:val="clear" w:color="auto" w:fill="FFFFFF"/>
            <w:noWrap w:val="0"/>
            <w:tcMar>
              <w:top w:w="15" w:type="dxa"/>
              <w:left w:w="15" w:type="dxa"/>
              <w:bottom w:w="0" w:type="dxa"/>
              <w:right w:w="15" w:type="dxa"/>
            </w:tcMar>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故障类别</w:t>
            </w:r>
          </w:p>
        </w:tc>
        <w:tc>
          <w:tcPr>
            <w:tcW w:w="3009" w:type="pct"/>
            <w:gridSpan w:val="5"/>
            <w:shd w:val="clear" w:color="auto" w:fill="FFFFFF"/>
            <w:noWrap w:val="0"/>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业务可用率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1991" w:type="pct"/>
            <w:vMerge w:val="continue"/>
            <w:shd w:val="clear" w:color="auto" w:fill="FFFFFF"/>
            <w:noWrap w:val="0"/>
            <w:tcMar>
              <w:top w:w="15" w:type="dxa"/>
              <w:left w:w="15" w:type="dxa"/>
              <w:bottom w:w="0" w:type="dxa"/>
              <w:right w:w="15" w:type="dxa"/>
            </w:tcMar>
            <w:vAlign w:val="center"/>
          </w:tcPr>
          <w:p>
            <w:pPr>
              <w:jc w:val="center"/>
              <w:rPr>
                <w:rFonts w:hint="eastAsia" w:ascii="宋体" w:hAnsi="宋体" w:cs="宋体"/>
                <w:bCs/>
                <w:color w:val="000000"/>
                <w:sz w:val="24"/>
                <w:szCs w:val="24"/>
              </w:rPr>
            </w:pPr>
          </w:p>
        </w:tc>
        <w:tc>
          <w:tcPr>
            <w:tcW w:w="602" w:type="pct"/>
            <w:shd w:val="clear" w:color="auto" w:fill="FFFFFF"/>
            <w:noWrap w:val="0"/>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AAAA级</w:t>
            </w:r>
          </w:p>
        </w:tc>
        <w:tc>
          <w:tcPr>
            <w:tcW w:w="602" w:type="pct"/>
            <w:shd w:val="clear" w:color="auto" w:fill="FFFFFF"/>
            <w:noWrap w:val="0"/>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AAA级</w:t>
            </w:r>
          </w:p>
        </w:tc>
        <w:tc>
          <w:tcPr>
            <w:tcW w:w="602" w:type="pct"/>
            <w:shd w:val="clear" w:color="auto" w:fill="FFFFFF"/>
            <w:noWrap w:val="0"/>
            <w:tcMar>
              <w:top w:w="15" w:type="dxa"/>
              <w:left w:w="15" w:type="dxa"/>
              <w:bottom w:w="0" w:type="dxa"/>
              <w:right w:w="15" w:type="dxa"/>
            </w:tcMar>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AA级</w:t>
            </w:r>
          </w:p>
        </w:tc>
        <w:tc>
          <w:tcPr>
            <w:tcW w:w="602" w:type="pct"/>
            <w:shd w:val="clear" w:color="auto" w:fill="FFFFFF"/>
            <w:noWrap w:val="0"/>
            <w:tcMar>
              <w:top w:w="15" w:type="dxa"/>
              <w:left w:w="15" w:type="dxa"/>
              <w:bottom w:w="0" w:type="dxa"/>
              <w:right w:w="15" w:type="dxa"/>
            </w:tcMar>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A级</w:t>
            </w:r>
          </w:p>
        </w:tc>
        <w:tc>
          <w:tcPr>
            <w:tcW w:w="602" w:type="pct"/>
            <w:shd w:val="clear" w:color="auto" w:fill="FFFFFF"/>
            <w:noWrap w:val="0"/>
            <w:tcMar>
              <w:top w:w="15" w:type="dxa"/>
              <w:left w:w="15" w:type="dxa"/>
              <w:bottom w:w="0" w:type="dxa"/>
              <w:right w:w="15" w:type="dxa"/>
            </w:tcMar>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普通级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1991" w:type="pct"/>
            <w:shd w:val="clear" w:color="auto" w:fill="FFFFFF"/>
            <w:noWrap w:val="0"/>
            <w:tcMar>
              <w:top w:w="15" w:type="dxa"/>
              <w:left w:w="15" w:type="dxa"/>
              <w:bottom w:w="0" w:type="dxa"/>
              <w:right w:w="15" w:type="dxa"/>
            </w:tcMar>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普通专线（不包含政企专网、金融专网）线路可用率</w:t>
            </w:r>
          </w:p>
        </w:tc>
        <w:tc>
          <w:tcPr>
            <w:tcW w:w="602" w:type="pct"/>
            <w:shd w:val="clear" w:color="auto" w:fill="FFFFFF"/>
            <w:noWrap w:val="0"/>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w:t>
            </w:r>
          </w:p>
        </w:tc>
        <w:tc>
          <w:tcPr>
            <w:tcW w:w="602" w:type="pct"/>
            <w:shd w:val="clear" w:color="auto" w:fill="FFFFFF"/>
            <w:noWrap w:val="0"/>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99.96%</w:t>
            </w:r>
          </w:p>
        </w:tc>
        <w:tc>
          <w:tcPr>
            <w:tcW w:w="602" w:type="pct"/>
            <w:shd w:val="clear" w:color="auto" w:fill="FFFFFF"/>
            <w:noWrap w:val="0"/>
            <w:tcMar>
              <w:top w:w="15" w:type="dxa"/>
              <w:left w:w="15" w:type="dxa"/>
              <w:bottom w:w="0" w:type="dxa"/>
              <w:right w:w="15" w:type="dxa"/>
            </w:tcMar>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99.93%</w:t>
            </w:r>
          </w:p>
        </w:tc>
        <w:tc>
          <w:tcPr>
            <w:tcW w:w="602" w:type="pct"/>
            <w:shd w:val="clear" w:color="auto" w:fill="FFFFFF"/>
            <w:noWrap w:val="0"/>
            <w:tcMar>
              <w:top w:w="15" w:type="dxa"/>
              <w:left w:w="15" w:type="dxa"/>
              <w:bottom w:w="0" w:type="dxa"/>
              <w:right w:w="15" w:type="dxa"/>
            </w:tcMar>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99.90%</w:t>
            </w:r>
          </w:p>
        </w:tc>
        <w:tc>
          <w:tcPr>
            <w:tcW w:w="602" w:type="pct"/>
            <w:shd w:val="clear" w:color="auto" w:fill="FFFFFF"/>
            <w:noWrap w:val="0"/>
            <w:tcMar>
              <w:top w:w="15" w:type="dxa"/>
              <w:left w:w="15" w:type="dxa"/>
              <w:bottom w:w="0" w:type="dxa"/>
              <w:right w:w="15" w:type="dxa"/>
            </w:tcMar>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99.72%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1991" w:type="pct"/>
            <w:shd w:val="clear" w:color="auto" w:fill="FFFFFF"/>
            <w:noWrap w:val="0"/>
            <w:tcMar>
              <w:top w:w="15" w:type="dxa"/>
              <w:left w:w="15" w:type="dxa"/>
              <w:bottom w:w="0" w:type="dxa"/>
              <w:right w:w="15" w:type="dxa"/>
            </w:tcMar>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政企专网线路可用率</w:t>
            </w:r>
          </w:p>
        </w:tc>
        <w:tc>
          <w:tcPr>
            <w:tcW w:w="602" w:type="pct"/>
            <w:shd w:val="clear" w:color="auto" w:fill="FFFFFF"/>
            <w:noWrap w:val="0"/>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w:t>
            </w:r>
          </w:p>
        </w:tc>
        <w:tc>
          <w:tcPr>
            <w:tcW w:w="602" w:type="pct"/>
            <w:shd w:val="clear" w:color="auto" w:fill="FFFFFF"/>
            <w:noWrap w:val="0"/>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99.99%</w:t>
            </w:r>
          </w:p>
        </w:tc>
        <w:tc>
          <w:tcPr>
            <w:tcW w:w="602" w:type="pct"/>
            <w:shd w:val="clear" w:color="auto" w:fill="FFFFFF"/>
            <w:noWrap w:val="0"/>
            <w:tcMar>
              <w:top w:w="15" w:type="dxa"/>
              <w:left w:w="15" w:type="dxa"/>
              <w:bottom w:w="0" w:type="dxa"/>
              <w:right w:w="15" w:type="dxa"/>
            </w:tcMar>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99.96%</w:t>
            </w:r>
          </w:p>
        </w:tc>
        <w:tc>
          <w:tcPr>
            <w:tcW w:w="602" w:type="pct"/>
            <w:shd w:val="clear" w:color="auto" w:fill="FFFFFF"/>
            <w:noWrap w:val="0"/>
            <w:tcMar>
              <w:top w:w="15" w:type="dxa"/>
              <w:left w:w="15" w:type="dxa"/>
              <w:bottom w:w="0" w:type="dxa"/>
              <w:right w:w="15" w:type="dxa"/>
            </w:tcMar>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99.93%</w:t>
            </w:r>
          </w:p>
        </w:tc>
        <w:tc>
          <w:tcPr>
            <w:tcW w:w="602" w:type="pct"/>
            <w:shd w:val="clear" w:color="auto" w:fill="FFFFFF"/>
            <w:noWrap w:val="0"/>
            <w:tcMar>
              <w:top w:w="15" w:type="dxa"/>
              <w:left w:w="15" w:type="dxa"/>
              <w:bottom w:w="0" w:type="dxa"/>
              <w:right w:w="15" w:type="dxa"/>
            </w:tcMar>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99.72%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1991" w:type="pct"/>
            <w:shd w:val="clear" w:color="auto" w:fill="FFFFFF"/>
            <w:noWrap w:val="0"/>
            <w:tcMar>
              <w:top w:w="15" w:type="dxa"/>
              <w:left w:w="15" w:type="dxa"/>
              <w:bottom w:w="0" w:type="dxa"/>
              <w:right w:w="15" w:type="dxa"/>
            </w:tcMar>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金融专网线路可用率</w:t>
            </w:r>
          </w:p>
        </w:tc>
        <w:tc>
          <w:tcPr>
            <w:tcW w:w="602" w:type="pct"/>
            <w:shd w:val="clear" w:color="auto" w:fill="FFFFFF"/>
            <w:noWrap w:val="0"/>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99.999%</w:t>
            </w:r>
          </w:p>
        </w:tc>
        <w:tc>
          <w:tcPr>
            <w:tcW w:w="602" w:type="pct"/>
            <w:shd w:val="clear" w:color="auto" w:fill="FFFFFF"/>
            <w:noWrap w:val="0"/>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99.99%</w:t>
            </w:r>
          </w:p>
        </w:tc>
        <w:tc>
          <w:tcPr>
            <w:tcW w:w="602" w:type="pct"/>
            <w:shd w:val="clear" w:color="auto" w:fill="FFFFFF"/>
            <w:noWrap w:val="0"/>
            <w:tcMar>
              <w:top w:w="15" w:type="dxa"/>
              <w:left w:w="15" w:type="dxa"/>
              <w:bottom w:w="0" w:type="dxa"/>
              <w:right w:w="15" w:type="dxa"/>
            </w:tcMar>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99.96%</w:t>
            </w:r>
          </w:p>
        </w:tc>
        <w:tc>
          <w:tcPr>
            <w:tcW w:w="602" w:type="pct"/>
            <w:shd w:val="clear" w:color="auto" w:fill="FFFFFF"/>
            <w:noWrap w:val="0"/>
            <w:tcMar>
              <w:top w:w="15" w:type="dxa"/>
              <w:left w:w="15" w:type="dxa"/>
              <w:bottom w:w="0" w:type="dxa"/>
              <w:right w:w="15" w:type="dxa"/>
            </w:tcMar>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w:t>
            </w:r>
          </w:p>
        </w:tc>
        <w:tc>
          <w:tcPr>
            <w:tcW w:w="602" w:type="pct"/>
            <w:shd w:val="clear" w:color="auto" w:fill="FFFFFF"/>
            <w:noWrap w:val="0"/>
            <w:tcMar>
              <w:top w:w="15" w:type="dxa"/>
              <w:left w:w="15" w:type="dxa"/>
              <w:bottom w:w="0" w:type="dxa"/>
              <w:right w:w="15" w:type="dxa"/>
            </w:tcMar>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w:t>
            </w:r>
          </w:p>
        </w:tc>
      </w:tr>
    </w:tbl>
    <w:p>
      <w:pPr>
        <w:pStyle w:val="4"/>
        <w:jc w:val="center"/>
        <w:rPr>
          <w:rFonts w:hint="eastAsia" w:ascii="宋体" w:hAnsi="宋体" w:cs="宋体"/>
          <w:sz w:val="24"/>
          <w:szCs w:val="24"/>
        </w:rPr>
      </w:pPr>
      <w:r>
        <w:rPr>
          <w:rFonts w:hint="eastAsia" w:ascii="宋体" w:hAnsi="宋体" w:cs="宋体"/>
          <w:sz w:val="24"/>
          <w:szCs w:val="24"/>
        </w:rPr>
        <w:t>数据专线线路质量标准</w:t>
      </w:r>
    </w:p>
    <w:tbl>
      <w:tblPr>
        <w:tblStyle w:val="5"/>
        <w:tblpPr w:leftFromText="180" w:rightFromText="180" w:vertAnchor="text" w:horzAnchor="page" w:tblpX="1318" w:tblpY="350"/>
        <w:tblOverlap w:val="never"/>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583"/>
        <w:gridCol w:w="3713"/>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4" w:type="pct"/>
            <w:shd w:val="clear" w:color="auto" w:fill="FFFFFF"/>
            <w:noWrap w:val="0"/>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专线类别</w:t>
            </w:r>
          </w:p>
        </w:tc>
        <w:tc>
          <w:tcPr>
            <w:tcW w:w="925" w:type="pct"/>
            <w:shd w:val="clear" w:color="auto" w:fill="FFFFFF"/>
            <w:noWrap/>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质量指标内容</w:t>
            </w:r>
          </w:p>
        </w:tc>
        <w:tc>
          <w:tcPr>
            <w:tcW w:w="2172" w:type="pct"/>
            <w:shd w:val="clear" w:color="auto" w:fill="FFFFFF"/>
            <w:noWrap w:val="0"/>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指标定义</w:t>
            </w:r>
          </w:p>
        </w:tc>
        <w:tc>
          <w:tcPr>
            <w:tcW w:w="1188" w:type="pct"/>
            <w:shd w:val="clear" w:color="auto" w:fill="FFFFFF"/>
            <w:noWrap w:val="0"/>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4" w:type="pct"/>
            <w:vMerge w:val="restart"/>
            <w:shd w:val="clear" w:color="auto" w:fill="FFFFFF"/>
            <w:noWrap w:val="0"/>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数据专线</w:t>
            </w:r>
          </w:p>
        </w:tc>
        <w:tc>
          <w:tcPr>
            <w:tcW w:w="925" w:type="pct"/>
            <w:shd w:val="clear" w:color="auto" w:fill="FFFFFF"/>
            <w:noWrap/>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误码率</w:t>
            </w:r>
          </w:p>
        </w:tc>
        <w:tc>
          <w:tcPr>
            <w:tcW w:w="2172" w:type="pct"/>
            <w:shd w:val="clear" w:color="auto" w:fill="FFFFFF"/>
            <w:noWrap/>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在一个确定的测试期间，接收出现差错的比特数与总发送的比特数之比</w:t>
            </w:r>
          </w:p>
        </w:tc>
        <w:tc>
          <w:tcPr>
            <w:tcW w:w="1188" w:type="pct"/>
            <w:shd w:val="clear" w:color="auto" w:fill="FFFFFF"/>
            <w:noWrap w:val="0"/>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≤1e-9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714" w:type="pct"/>
            <w:vMerge w:val="continue"/>
            <w:shd w:val="clear" w:color="auto" w:fill="FFFFFF"/>
            <w:noWrap w:val="0"/>
            <w:vAlign w:val="center"/>
          </w:tcPr>
          <w:p>
            <w:pPr>
              <w:jc w:val="center"/>
              <w:rPr>
                <w:rFonts w:hint="eastAsia" w:ascii="宋体" w:hAnsi="宋体" w:cs="宋体"/>
                <w:bCs/>
                <w:color w:val="000000"/>
                <w:sz w:val="24"/>
                <w:szCs w:val="24"/>
              </w:rPr>
            </w:pPr>
          </w:p>
        </w:tc>
        <w:tc>
          <w:tcPr>
            <w:tcW w:w="925" w:type="pct"/>
            <w:shd w:val="clear" w:color="auto" w:fill="FFFFFF"/>
            <w:noWrap/>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时延</w:t>
            </w:r>
          </w:p>
        </w:tc>
        <w:tc>
          <w:tcPr>
            <w:tcW w:w="2172" w:type="pct"/>
            <w:shd w:val="clear" w:color="auto" w:fill="FFFFFF"/>
            <w:noWrap/>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端到端不丢包情况下的网络转发数据所用时间，包括传输时延和传输节点处理时延。</w:t>
            </w:r>
          </w:p>
        </w:tc>
        <w:tc>
          <w:tcPr>
            <w:tcW w:w="1188" w:type="pct"/>
            <w:shd w:val="clear" w:color="auto" w:fill="FFFFFF"/>
            <w:noWrap w:val="0"/>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跨省、跨市时延：0.8ms/百公里（单向时延）；本地网内≤10ms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4" w:type="pct"/>
            <w:vMerge w:val="continue"/>
            <w:shd w:val="clear" w:color="auto" w:fill="FFFFFF"/>
            <w:noWrap w:val="0"/>
            <w:vAlign w:val="center"/>
          </w:tcPr>
          <w:p>
            <w:pPr>
              <w:jc w:val="center"/>
              <w:rPr>
                <w:rFonts w:hint="eastAsia" w:ascii="宋体" w:hAnsi="宋体" w:cs="宋体"/>
                <w:bCs/>
                <w:color w:val="000000"/>
                <w:sz w:val="24"/>
                <w:szCs w:val="24"/>
              </w:rPr>
            </w:pPr>
          </w:p>
        </w:tc>
        <w:tc>
          <w:tcPr>
            <w:tcW w:w="925" w:type="pct"/>
            <w:shd w:val="clear" w:color="auto" w:fill="FFFFFF"/>
            <w:noWrap/>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丢包率</w:t>
            </w:r>
          </w:p>
        </w:tc>
        <w:tc>
          <w:tcPr>
            <w:tcW w:w="2172" w:type="pct"/>
            <w:shd w:val="clear" w:color="auto" w:fill="FFFFFF"/>
            <w:noWrap/>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在网络稳定状态下由于网络资源缺乏造成的不能转发的数据帧和总数据帧的百分比</w:t>
            </w:r>
          </w:p>
        </w:tc>
        <w:tc>
          <w:tcPr>
            <w:tcW w:w="1188" w:type="pct"/>
            <w:shd w:val="clear" w:color="auto" w:fill="FFFFFF"/>
            <w:noWrap w:val="0"/>
            <w:vAlign w:val="center"/>
          </w:tcPr>
          <w:p>
            <w:pPr>
              <w:jc w:val="center"/>
              <w:rPr>
                <w:rFonts w:hint="eastAsia" w:ascii="宋体" w:hAnsi="宋体" w:cs="宋体"/>
                <w:bCs/>
                <w:color w:val="000000"/>
                <w:sz w:val="24"/>
                <w:szCs w:val="24"/>
              </w:rPr>
            </w:pPr>
            <w:r>
              <w:rPr>
                <w:rFonts w:hint="eastAsia" w:ascii="宋体" w:hAnsi="宋体" w:cs="宋体"/>
                <w:bCs/>
                <w:color w:val="000000"/>
                <w:sz w:val="24"/>
                <w:szCs w:val="24"/>
              </w:rPr>
              <w:t>在正常带宽负荷下（负荷小于70％）≤0.1%（挂表测试为准）</w:t>
            </w:r>
          </w:p>
        </w:tc>
      </w:tr>
    </w:tbl>
    <w:p>
      <w:pPr>
        <w:pStyle w:val="4"/>
        <w:rPr>
          <w:rFonts w:hint="eastAsia" w:ascii="宋体" w:hAnsi="宋体" w:cs="宋体"/>
          <w:sz w:val="24"/>
          <w:szCs w:val="24"/>
        </w:rPr>
      </w:pP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二、本着需求主导、统筹规划，整合资源、服务应用，着眼发展、注重安全的原则，本项目建设技术方案，主要分以下几方面考虑：</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1、稳定性</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伴随着信息化建设的迅速发展,本次工程要求建成满足采购人运营商电路租用要求的承载网络，网络建设最关键的一点就是安全稳定，这是其信息化建设中最重要的考虑因素，如何保证网络7×24小时稳定运行成为专网建设的重点。</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2、安全性</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本项目要求做好网络安全，防止通信网络阻塞、中断、瘫痪或者被非法控制，以及为防止通信网络中传输、存储、处理的数据信息丢失、泄露或者被篡改。</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安全目标有：保护由网点产生的或与网点相关的信息能得到充分的保护，防止被误用或盗用；保证由网络服务和归属环境提供的资源和业务能得到充分保护，防止被误用或盗用；保护标准化的安全特征至少应有一个可以在世界范围的基础上输出的加密算法；保证安全特征被充分的标准化，以确保网内互操作与不同的服务网络之间的漫游；保证提供给网点和业务供应者的保护级别比当代固定或移动网络提供的高。</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3、可管理性</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供应商负责建设专网的运行、维护管理，成立项目所属运行维护管理机构，负责网络的运行、维护及管理。</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4、可维护性</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在网络建设中采取环网保护，利用统一的网管平台对本次项目专线承载网络进行7x24小时的不间断监控，保障专网的安全运行。</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5、经济性</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本项目网络建设遵循国家标准，在保证电路接入的同时，兼顾扩展性能，安全性能，保障了投资受益的最大化。在满足对功能、质量、性能、价格和服务等各方面要求的前提下，追求最优化的系统设备配置，以尽量降低系统造价。</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6、技术先进性</w:t>
      </w:r>
    </w:p>
    <w:p>
      <w:pPr>
        <w:snapToGrid w:val="0"/>
        <w:spacing w:line="360" w:lineRule="auto"/>
        <w:ind w:firstLine="480" w:firstLineChars="200"/>
        <w:rPr>
          <w:rFonts w:ascii="宋体" w:hAnsi="宋体" w:cs="黑体"/>
          <w:b/>
          <w:bCs/>
          <w:sz w:val="24"/>
          <w:szCs w:val="24"/>
        </w:rPr>
      </w:pPr>
      <w:r>
        <w:rPr>
          <w:rFonts w:hint="eastAsia" w:ascii="宋体" w:hAnsi="宋体" w:cs="黑体"/>
          <w:sz w:val="24"/>
          <w:szCs w:val="24"/>
        </w:rPr>
        <w:t>考虑到通信网络承载技术的发展趋势，供应商的传输承载专网使用对IP分组业务支持能力最好的、目前最先进、传输能力最强的OTN、PTN网络，可以充分保证网络高带宽、高速率、高安全，为网络的运行提供有力保障。同时可以在未来的很长时间内，保持在行业内的技术领先，满足对于技术安全的保障。</w:t>
      </w:r>
    </w:p>
    <w:p>
      <w:pPr>
        <w:snapToGrid w:val="0"/>
        <w:spacing w:line="360" w:lineRule="auto"/>
        <w:rPr>
          <w:rFonts w:hint="eastAsia" w:ascii="宋体" w:hAnsi="宋体" w:cs="黑体"/>
          <w:sz w:val="24"/>
          <w:szCs w:val="24"/>
        </w:rPr>
      </w:pPr>
    </w:p>
    <w:p>
      <w:pPr>
        <w:snapToGrid w:val="0"/>
        <w:spacing w:line="360" w:lineRule="auto"/>
        <w:ind w:firstLine="480" w:firstLineChars="200"/>
        <w:rPr>
          <w:rFonts w:ascii="宋体" w:hAnsi="宋体" w:cs="黑体"/>
          <w:sz w:val="24"/>
          <w:szCs w:val="24"/>
        </w:rPr>
      </w:pPr>
      <w:r>
        <w:rPr>
          <w:rFonts w:hint="eastAsia" w:ascii="宋体" w:hAnsi="宋体" w:cs="黑体"/>
          <w:sz w:val="24"/>
          <w:szCs w:val="24"/>
          <w:highlight w:val="none"/>
        </w:rPr>
        <w:t>三、本项目服务性需求，主要分以下几方面考虑：</w:t>
      </w:r>
    </w:p>
    <w:p>
      <w:pPr>
        <w:snapToGrid w:val="0"/>
        <w:spacing w:line="360" w:lineRule="auto"/>
        <w:ind w:firstLine="480" w:firstLineChars="200"/>
        <w:rPr>
          <w:rFonts w:hint="default" w:ascii="宋体" w:hAnsi="宋体" w:eastAsia="宋体" w:cs="黑体"/>
          <w:color w:val="auto"/>
          <w:sz w:val="24"/>
          <w:szCs w:val="24"/>
          <w:lang w:val="en-US" w:eastAsia="zh-CN"/>
        </w:rPr>
      </w:pPr>
      <w:r>
        <w:rPr>
          <w:rFonts w:hint="eastAsia" w:ascii="宋体" w:hAnsi="宋体" w:cs="黑体"/>
          <w:color w:val="auto"/>
          <w:sz w:val="24"/>
          <w:szCs w:val="24"/>
        </w:rPr>
        <w:t>★1、</w:t>
      </w:r>
      <w:r>
        <w:rPr>
          <w:rFonts w:hint="eastAsia" w:ascii="宋体" w:hAnsi="宋体" w:cs="黑体"/>
          <w:color w:val="auto"/>
          <w:sz w:val="24"/>
          <w:szCs w:val="24"/>
          <w:lang w:eastAsia="zh-CN"/>
        </w:rPr>
        <w:t>因此产品建设由省</w:t>
      </w:r>
      <w:r>
        <w:rPr>
          <w:rFonts w:hint="eastAsia" w:ascii="宋体" w:hAnsi="宋体" w:cs="黑体"/>
          <w:color w:val="auto"/>
          <w:sz w:val="24"/>
          <w:szCs w:val="24"/>
          <w:lang w:val="en-US" w:eastAsia="zh-CN"/>
        </w:rPr>
        <w:t>卫健</w:t>
      </w:r>
      <w:r>
        <w:rPr>
          <w:rFonts w:hint="eastAsia" w:ascii="宋体" w:hAnsi="宋体" w:cs="黑体"/>
          <w:color w:val="auto"/>
          <w:sz w:val="24"/>
          <w:szCs w:val="24"/>
          <w:lang w:eastAsia="zh-CN"/>
        </w:rPr>
        <w:t>委与中国移动统谈签约，现已</w:t>
      </w:r>
      <w:r>
        <w:rPr>
          <w:rFonts w:hint="eastAsia" w:ascii="宋体" w:hAnsi="宋体" w:cs="黑体"/>
          <w:color w:val="auto"/>
          <w:sz w:val="24"/>
          <w:szCs w:val="24"/>
          <w:lang w:val="en-US" w:eastAsia="zh-CN"/>
        </w:rPr>
        <w:t>由</w:t>
      </w:r>
      <w:r>
        <w:rPr>
          <w:rFonts w:hint="eastAsia" w:ascii="宋体" w:hAnsi="宋体" w:cs="黑体"/>
          <w:color w:val="auto"/>
          <w:sz w:val="24"/>
          <w:szCs w:val="24"/>
          <w:lang w:eastAsia="zh-CN"/>
        </w:rPr>
        <w:t>相关供应商进行网络线路提供，相关业务已在运行中，</w:t>
      </w:r>
      <w:r>
        <w:rPr>
          <w:rFonts w:hint="eastAsia" w:ascii="宋体" w:hAnsi="宋体" w:cs="黑体"/>
          <w:color w:val="auto"/>
          <w:sz w:val="24"/>
          <w:szCs w:val="24"/>
        </w:rPr>
        <w:t>为防止通信网络中传输、存储、处理的数据信息丢失、泄露或者被篡改</w:t>
      </w:r>
      <w:r>
        <w:rPr>
          <w:rFonts w:hint="eastAsia" w:ascii="宋体" w:hAnsi="宋体" w:cs="黑体"/>
          <w:color w:val="auto"/>
          <w:sz w:val="24"/>
          <w:szCs w:val="24"/>
          <w:lang w:eastAsia="zh-CN"/>
        </w:rPr>
        <w:t>，故本次项目采购</w:t>
      </w:r>
      <w:r>
        <w:rPr>
          <w:rFonts w:hint="eastAsia" w:ascii="宋体" w:hAnsi="宋体" w:cs="黑体"/>
          <w:color w:val="auto"/>
          <w:sz w:val="24"/>
          <w:szCs w:val="24"/>
        </w:rPr>
        <w:t>要求做</w:t>
      </w:r>
      <w:r>
        <w:rPr>
          <w:rFonts w:hint="eastAsia" w:ascii="宋体" w:hAnsi="宋体" w:cs="黑体"/>
          <w:color w:val="auto"/>
          <w:sz w:val="24"/>
          <w:szCs w:val="24"/>
          <w:lang w:eastAsia="zh-CN"/>
        </w:rPr>
        <w:t>到业务网络不中断，且开通时限小于等于</w:t>
      </w:r>
      <w:r>
        <w:rPr>
          <w:rFonts w:hint="eastAsia" w:ascii="宋体" w:hAnsi="宋体" w:cs="黑体"/>
          <w:color w:val="auto"/>
          <w:sz w:val="24"/>
          <w:szCs w:val="24"/>
          <w:lang w:val="en-US" w:eastAsia="zh-CN"/>
        </w:rPr>
        <w:t>24小时。【实质性要求】</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2、供应商提供优质电路，负责向采购人提供有关技术支持，满足采购人的网络出口需求。</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3、供应商在服务期内为采购人提供365×24小时不间断的售后“三优”保障服务，即：优惠、优先、优质的服务，并依据有关规程和规范进行维护。</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4、供应商须确定专人负责与采购人进行沟通协调工作，采取一站式受理，统一处理采购人的服务要求，包括线路的开通、变更、终止、故障申报、缴费等业务流程，建立完善的通信障碍处理、报告制度。电路出现通信故障应立即报于采购人，并积极配合采购人要求及时排除故障，做好详细的故障处理报告。</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5、供应商保证在专线发生故障的情况下，必须在4小时内排除故障，特殊情况需及时书面或电话说明。对可预知的网络中断，如施工等原因影响通信线路正常使用的，保证提前24小时书面或电话通知采购人，并在4个小时之内恢复正常。</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6、供应商须在线路开通之日前将调测好的线路交给采购人，同时提供线路测试报告。</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7、在线路租用期限内，供应商应为采购人免费提供现场维修及维护服务。</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8、供应商必须为采购人提供7×24小时应急通信保障，首次故障响应时间不超过30分钟，线路故障处理时间不得超过4小时。</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9、供应商须承诺在核心节点及各边缘节点出现机房搬迁等情况需要进行线路迁移时，免费提供一次线路迁移服务。</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1</w:t>
      </w:r>
      <w:r>
        <w:rPr>
          <w:rFonts w:ascii="宋体" w:hAnsi="宋体" w:cs="黑体"/>
          <w:sz w:val="24"/>
          <w:szCs w:val="24"/>
        </w:rPr>
        <w:t>0</w:t>
      </w:r>
      <w:r>
        <w:rPr>
          <w:rFonts w:hint="eastAsia" w:ascii="宋体" w:hAnsi="宋体" w:cs="黑体"/>
          <w:sz w:val="24"/>
          <w:szCs w:val="24"/>
        </w:rPr>
        <w:t>、供应商须对上述服务性需求制定详细的服务方案。</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1</w:t>
      </w:r>
      <w:r>
        <w:rPr>
          <w:rFonts w:ascii="宋体" w:hAnsi="宋体" w:cs="黑体"/>
          <w:sz w:val="24"/>
          <w:szCs w:val="24"/>
        </w:rPr>
        <w:t>1</w:t>
      </w:r>
      <w:r>
        <w:rPr>
          <w:rFonts w:hint="eastAsia" w:ascii="宋体" w:hAnsi="宋体" w:cs="黑体"/>
          <w:sz w:val="24"/>
          <w:szCs w:val="24"/>
        </w:rPr>
        <w:t>、安全需求</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（1）供应商的网络须安全可靠，须满足《中华人民共和国网络安全法》、《互联网安全保护技术措施规定》等国家法律法规的相关条款。</w:t>
      </w:r>
    </w:p>
    <w:p>
      <w:pPr>
        <w:snapToGrid w:val="0"/>
        <w:spacing w:line="360" w:lineRule="auto"/>
        <w:ind w:firstLine="480" w:firstLineChars="200"/>
        <w:rPr>
          <w:rFonts w:ascii="宋体" w:hAnsi="宋体" w:cs="黑体"/>
          <w:sz w:val="24"/>
          <w:szCs w:val="24"/>
        </w:rPr>
      </w:pPr>
      <w:r>
        <w:rPr>
          <w:rFonts w:hint="eastAsia" w:ascii="宋体" w:hAnsi="宋体" w:cs="黑体"/>
          <w:sz w:val="24"/>
          <w:szCs w:val="24"/>
        </w:rPr>
        <w:t>（</w:t>
      </w:r>
      <w:r>
        <w:rPr>
          <w:rFonts w:ascii="宋体" w:hAnsi="宋体" w:cs="黑体"/>
          <w:sz w:val="24"/>
          <w:szCs w:val="24"/>
        </w:rPr>
        <w:t>2</w:t>
      </w:r>
      <w:r>
        <w:rPr>
          <w:rFonts w:hint="eastAsia" w:ascii="宋体" w:hAnsi="宋体" w:cs="黑体"/>
          <w:sz w:val="24"/>
          <w:szCs w:val="24"/>
        </w:rPr>
        <w:t>）供应商须在投标时提供针对所投标网络制定的网络安全措施方案。</w:t>
      </w:r>
    </w:p>
    <w:p>
      <w:pPr>
        <w:snapToGrid w:val="0"/>
        <w:spacing w:line="360" w:lineRule="auto"/>
        <w:ind w:firstLine="480" w:firstLineChars="200"/>
        <w:rPr>
          <w:rFonts w:hint="eastAsia" w:ascii="宋体" w:hAnsi="宋体" w:cs="黑体"/>
          <w:sz w:val="24"/>
          <w:szCs w:val="24"/>
        </w:rPr>
      </w:pPr>
      <w:r>
        <w:rPr>
          <w:rFonts w:hint="eastAsia" w:ascii="宋体" w:hAnsi="宋体" w:cs="黑体"/>
          <w:sz w:val="24"/>
          <w:szCs w:val="24"/>
        </w:rPr>
        <w:t>（</w:t>
      </w:r>
      <w:r>
        <w:rPr>
          <w:rFonts w:ascii="宋体" w:hAnsi="宋体" w:cs="黑体"/>
          <w:sz w:val="24"/>
          <w:szCs w:val="24"/>
        </w:rPr>
        <w:t>3</w:t>
      </w:r>
      <w:r>
        <w:rPr>
          <w:rFonts w:hint="eastAsia" w:ascii="宋体" w:hAnsi="宋体" w:cs="黑体"/>
          <w:sz w:val="24"/>
          <w:szCs w:val="24"/>
        </w:rPr>
        <w:t>）</w:t>
      </w:r>
      <w:r>
        <w:rPr>
          <w:rFonts w:hint="eastAsia" w:ascii="宋体" w:hAnsi="宋体" w:cs="宋体"/>
          <w:sz w:val="24"/>
          <w:szCs w:val="24"/>
        </w:rPr>
        <w:t>提供DDoS攻击监控、攻击防护和分析溯源的网络安全服务。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136FA"/>
    <w:multiLevelType w:val="singleLevel"/>
    <w:tmpl w:val="2D1136FA"/>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941C3"/>
    <w:rsid w:val="2C341768"/>
    <w:rsid w:val="65D32552"/>
    <w:rsid w:val="6C031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szCs w:val="21"/>
      <w:lang w:val="en-US" w:eastAsia="zh-CN" w:bidi="ar-SA"/>
    </w:rPr>
  </w:style>
  <w:style w:type="paragraph" w:styleId="3">
    <w:name w:val="heading 1"/>
    <w:basedOn w:val="1"/>
    <w:next w:val="1"/>
    <w:qFormat/>
    <w:uiPriority w:val="99"/>
    <w:pPr>
      <w:keepNext/>
      <w:keepLines/>
      <w:widowControl w:val="0"/>
      <w:spacing w:before="340" w:after="330" w:line="576" w:lineRule="auto"/>
      <w:outlineLvl w:val="0"/>
    </w:pPr>
    <w:rPr>
      <w:rFonts w:ascii="Calibri" w:hAnsi="Calibri"/>
      <w:b/>
      <w:bCs/>
      <w:kern w:val="44"/>
      <w:sz w:val="44"/>
      <w:szCs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Times New Roman" w:hAnsi="Times New Roman"/>
      <w:kern w:val="2"/>
      <w:sz w:val="21"/>
      <w:szCs w:val="24"/>
    </w:rPr>
  </w:style>
  <w:style w:type="paragraph" w:styleId="4">
    <w:name w:val="Body Text Indent"/>
    <w:basedOn w:val="1"/>
    <w:unhideWhenUsed/>
    <w:uiPriority w:val="99"/>
    <w:pPr>
      <w:spacing w:line="460" w:lineRule="exact"/>
      <w:ind w:firstLine="510"/>
    </w:pPr>
    <w:rPr>
      <w:rFonts w:ascii="Calibri" w:hAnsi="Calibri"/>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2023-07-04T01:47:00Z</dcterms:created>
  <dc:creator>CMCC</dc:creator>
  <cp:lastModifiedBy>Administrator</cp:lastModifiedBy>
  <dcterms:modified xsi:type="dcterms:W3CDTF">2023-09-01T00:32:07Z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E5116DA37D6D4362AC0FA03CBAF19145</vt:lpwstr>
  </property>
</Properties>
</file>