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outlineLvl w:val="0"/>
        <w:rPr>
          <w:rFonts w:ascii="方正楷体_GBK" w:hAnsi="方正楷体_GBK" w:eastAsia="方正楷体_GBK" w:cs="方正楷体_GBK"/>
          <w:sz w:val="28"/>
          <w:szCs w:val="22"/>
        </w:rPr>
      </w:pPr>
      <w:bookmarkStart w:id="0" w:name="_Toc32495"/>
      <w:bookmarkStart w:id="1" w:name="_Toc32426"/>
      <w:r>
        <w:rPr>
          <w:rFonts w:hint="eastAsia" w:ascii="方正楷体_GBK" w:hAnsi="方正楷体_GBK" w:eastAsia="方正楷体_GBK" w:cs="方正楷体_GBK"/>
          <w:sz w:val="28"/>
          <w:szCs w:val="22"/>
        </w:rPr>
        <w:t xml:space="preserve">  </w:t>
      </w:r>
      <w:r>
        <w:rPr>
          <w:rFonts w:hint="eastAsia" w:ascii="方正楷体_GBK" w:hAnsi="方正楷体_GBK" w:eastAsia="方正楷体_GBK" w:cs="方正楷体_GBK"/>
          <w:sz w:val="28"/>
          <w:szCs w:val="22"/>
          <w:lang w:eastAsia="zh-CN"/>
        </w:rPr>
        <w:t>评审</w:t>
      </w:r>
      <w:r>
        <w:rPr>
          <w:rFonts w:ascii="方正楷体_GBK" w:hAnsi="方正楷体_GBK" w:eastAsia="方正楷体_GBK" w:cs="方正楷体_GBK"/>
          <w:sz w:val="28"/>
          <w:szCs w:val="22"/>
        </w:rPr>
        <w:t>方法（综合评分法）</w:t>
      </w:r>
      <w:bookmarkEnd w:id="0"/>
      <w:bookmarkEnd w:id="1"/>
    </w:p>
    <w:tbl>
      <w:tblPr>
        <w:tblStyle w:val="8"/>
        <w:tblW w:w="100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013"/>
        <w:gridCol w:w="1593"/>
        <w:gridCol w:w="2682"/>
        <w:gridCol w:w="3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tblHeader/>
          <w:jc w:val="center"/>
        </w:trPr>
        <w:tc>
          <w:tcPr>
            <w:tcW w:w="851" w:type="dxa"/>
            <w:vAlign w:val="center"/>
          </w:tcPr>
          <w:p>
            <w:pPr>
              <w:spacing w:before="100" w:beforeAutospacing="1" w:after="100" w:afterAutospacing="1" w:line="160" w:lineRule="atLeast"/>
              <w:jc w:val="center"/>
              <w:rPr>
                <w:rFonts w:ascii="华文楷体" w:hAnsi="华文楷体" w:eastAsia="华文楷体" w:cs="华文楷体"/>
                <w:b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szCs w:val="21"/>
              </w:rPr>
              <w:t>条款号</w:t>
            </w:r>
          </w:p>
        </w:tc>
        <w:tc>
          <w:tcPr>
            <w:tcW w:w="1013" w:type="dxa"/>
            <w:vAlign w:val="center"/>
          </w:tcPr>
          <w:p>
            <w:pPr>
              <w:spacing w:before="100" w:beforeAutospacing="1" w:after="100" w:afterAutospacing="1" w:line="160" w:lineRule="atLeast"/>
              <w:jc w:val="center"/>
              <w:rPr>
                <w:rFonts w:ascii="华文楷体" w:hAnsi="华文楷体" w:eastAsia="华文楷体" w:cs="华文楷体"/>
                <w:b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szCs w:val="21"/>
              </w:rPr>
              <w:t>评审程序</w:t>
            </w:r>
          </w:p>
        </w:tc>
        <w:tc>
          <w:tcPr>
            <w:tcW w:w="8181" w:type="dxa"/>
            <w:gridSpan w:val="3"/>
            <w:vAlign w:val="center"/>
          </w:tcPr>
          <w:p>
            <w:pPr>
              <w:spacing w:before="100" w:beforeAutospacing="1" w:after="100" w:afterAutospacing="1" w:line="160" w:lineRule="atLeast"/>
              <w:jc w:val="center"/>
              <w:rPr>
                <w:rFonts w:ascii="华文楷体" w:hAnsi="华文楷体" w:eastAsia="华文楷体" w:cs="华文楷体"/>
                <w:b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szCs w:val="21"/>
              </w:rPr>
              <w:t>评 审 内 容 及 标 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851" w:type="dxa"/>
            <w:vMerge w:val="restart"/>
            <w:vAlign w:val="center"/>
          </w:tcPr>
          <w:p>
            <w:pPr>
              <w:spacing w:before="100" w:beforeAutospacing="1" w:after="100" w:afterAutospacing="1" w:line="160" w:lineRule="atLeast"/>
              <w:jc w:val="center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3.1</w:t>
            </w:r>
          </w:p>
        </w:tc>
        <w:tc>
          <w:tcPr>
            <w:tcW w:w="1013" w:type="dxa"/>
            <w:vMerge w:val="restart"/>
            <w:vAlign w:val="center"/>
          </w:tcPr>
          <w:p>
            <w:pPr>
              <w:spacing w:before="100" w:beforeAutospacing="1" w:after="100" w:afterAutospacing="1" w:line="160" w:lineRule="atLeast"/>
              <w:jc w:val="center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符合性评审标准</w:t>
            </w:r>
          </w:p>
        </w:tc>
        <w:tc>
          <w:tcPr>
            <w:tcW w:w="8181" w:type="dxa"/>
            <w:gridSpan w:val="3"/>
            <w:vAlign w:val="center"/>
          </w:tcPr>
          <w:p>
            <w:pPr>
              <w:spacing w:before="100" w:beforeAutospacing="1" w:after="100" w:afterAutospacing="1" w:line="160" w:lineRule="atLeast"/>
              <w:jc w:val="left"/>
              <w:rPr>
                <w:rFonts w:ascii="华文楷体" w:hAnsi="华文楷体" w:eastAsia="华文楷体" w:cs="华文楷体"/>
                <w:b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szCs w:val="21"/>
                <w:lang w:eastAsia="zh-CN"/>
              </w:rPr>
              <w:t>响应人</w:t>
            </w:r>
            <w:r>
              <w:rPr>
                <w:rFonts w:hint="eastAsia" w:ascii="华文楷体" w:hAnsi="华文楷体" w:eastAsia="华文楷体" w:cs="华文楷体"/>
                <w:b/>
                <w:szCs w:val="21"/>
              </w:rPr>
              <w:t>存在下列情况之一的，</w:t>
            </w:r>
            <w:r>
              <w:rPr>
                <w:rFonts w:hint="eastAsia" w:ascii="华文楷体" w:hAnsi="华文楷体" w:eastAsia="华文楷体" w:cs="华文楷体"/>
                <w:b/>
                <w:szCs w:val="21"/>
                <w:lang w:eastAsia="zh-CN"/>
              </w:rPr>
              <w:t>响应</w:t>
            </w:r>
            <w:r>
              <w:rPr>
                <w:rFonts w:hint="eastAsia" w:ascii="华文楷体" w:hAnsi="华文楷体" w:eastAsia="华文楷体" w:cs="华文楷体"/>
                <w:b/>
                <w:szCs w:val="21"/>
              </w:rPr>
              <w:t>无效：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51" w:type="dxa"/>
            <w:vMerge w:val="continue"/>
            <w:vAlign w:val="center"/>
          </w:tcPr>
          <w:p>
            <w:pPr>
              <w:spacing w:before="100" w:beforeAutospacing="1" w:after="100" w:afterAutospacing="1" w:line="160" w:lineRule="atLeast"/>
              <w:rPr>
                <w:rFonts w:ascii="华文楷体" w:hAnsi="华文楷体" w:eastAsia="华文楷体" w:cs="华文楷体"/>
                <w:szCs w:val="21"/>
              </w:rPr>
            </w:pPr>
          </w:p>
        </w:tc>
        <w:tc>
          <w:tcPr>
            <w:tcW w:w="1013" w:type="dxa"/>
            <w:vMerge w:val="continue"/>
            <w:vAlign w:val="center"/>
          </w:tcPr>
          <w:p>
            <w:pPr>
              <w:spacing w:before="100" w:beforeAutospacing="1" w:after="100" w:afterAutospacing="1" w:line="160" w:lineRule="atLeast"/>
              <w:rPr>
                <w:rFonts w:ascii="华文楷体" w:hAnsi="华文楷体" w:eastAsia="华文楷体" w:cs="华文楷体"/>
                <w:szCs w:val="21"/>
              </w:rPr>
            </w:pPr>
          </w:p>
        </w:tc>
        <w:tc>
          <w:tcPr>
            <w:tcW w:w="4275" w:type="dxa"/>
            <w:gridSpan w:val="2"/>
            <w:vAlign w:val="center"/>
          </w:tcPr>
          <w:p>
            <w:pPr>
              <w:spacing w:before="100" w:beforeAutospacing="1" w:after="100" w:afterAutospacing="1" w:line="160" w:lineRule="atLeast"/>
              <w:jc w:val="center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签署、盖章</w:t>
            </w:r>
          </w:p>
        </w:tc>
        <w:tc>
          <w:tcPr>
            <w:tcW w:w="3906" w:type="dxa"/>
            <w:vAlign w:val="center"/>
          </w:tcPr>
          <w:p>
            <w:pPr>
              <w:spacing w:before="100" w:beforeAutospacing="1" w:after="100" w:afterAutospacing="1" w:line="160" w:lineRule="atLeast"/>
              <w:jc w:val="left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响应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文件未按</w:t>
            </w: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采购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文件要求签署、盖章的；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851" w:type="dxa"/>
            <w:vMerge w:val="continue"/>
            <w:vAlign w:val="center"/>
          </w:tcPr>
          <w:p>
            <w:pPr>
              <w:spacing w:before="100" w:beforeAutospacing="1" w:after="100" w:afterAutospacing="1" w:line="160" w:lineRule="atLeast"/>
              <w:rPr>
                <w:rFonts w:ascii="华文楷体" w:hAnsi="华文楷体" w:eastAsia="华文楷体" w:cs="华文楷体"/>
                <w:szCs w:val="21"/>
              </w:rPr>
            </w:pPr>
          </w:p>
        </w:tc>
        <w:tc>
          <w:tcPr>
            <w:tcW w:w="1013" w:type="dxa"/>
            <w:vMerge w:val="continue"/>
            <w:vAlign w:val="center"/>
          </w:tcPr>
          <w:p>
            <w:pPr>
              <w:spacing w:before="100" w:beforeAutospacing="1" w:after="100" w:afterAutospacing="1" w:line="160" w:lineRule="atLeast"/>
              <w:rPr>
                <w:rFonts w:ascii="华文楷体" w:hAnsi="华文楷体" w:eastAsia="华文楷体" w:cs="华文楷体"/>
                <w:szCs w:val="21"/>
              </w:rPr>
            </w:pPr>
          </w:p>
        </w:tc>
        <w:tc>
          <w:tcPr>
            <w:tcW w:w="4275" w:type="dxa"/>
            <w:gridSpan w:val="2"/>
            <w:vAlign w:val="center"/>
          </w:tcPr>
          <w:p>
            <w:pPr>
              <w:spacing w:before="100" w:beforeAutospacing="1" w:after="100" w:afterAutospacing="1" w:line="160" w:lineRule="atLeast"/>
              <w:jc w:val="center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法定代表人身份证明书及法定代表人授权委托书</w:t>
            </w:r>
          </w:p>
        </w:tc>
        <w:tc>
          <w:tcPr>
            <w:tcW w:w="3906" w:type="dxa"/>
            <w:vAlign w:val="center"/>
          </w:tcPr>
          <w:p>
            <w:pPr>
              <w:spacing w:before="100" w:beforeAutospacing="1" w:after="100" w:afterAutospacing="1" w:line="160" w:lineRule="atLeast"/>
              <w:jc w:val="left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响应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文件未按</w:t>
            </w: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采购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文件要求签署、盖章的；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851" w:type="dxa"/>
            <w:vMerge w:val="continue"/>
            <w:vAlign w:val="center"/>
          </w:tcPr>
          <w:p>
            <w:pPr>
              <w:spacing w:before="100" w:beforeAutospacing="1" w:after="100" w:afterAutospacing="1" w:line="160" w:lineRule="atLeast"/>
              <w:rPr>
                <w:rFonts w:ascii="华文楷体" w:hAnsi="华文楷体" w:eastAsia="华文楷体" w:cs="华文楷体"/>
                <w:szCs w:val="21"/>
              </w:rPr>
            </w:pPr>
          </w:p>
        </w:tc>
        <w:tc>
          <w:tcPr>
            <w:tcW w:w="1013" w:type="dxa"/>
            <w:vMerge w:val="continue"/>
            <w:vAlign w:val="center"/>
          </w:tcPr>
          <w:p>
            <w:pPr>
              <w:spacing w:before="100" w:beforeAutospacing="1" w:after="100" w:afterAutospacing="1" w:line="160" w:lineRule="atLeast"/>
              <w:rPr>
                <w:rFonts w:ascii="华文楷体" w:hAnsi="华文楷体" w:eastAsia="华文楷体" w:cs="华文楷体"/>
                <w:szCs w:val="21"/>
              </w:rPr>
            </w:pPr>
          </w:p>
        </w:tc>
        <w:tc>
          <w:tcPr>
            <w:tcW w:w="4275" w:type="dxa"/>
            <w:gridSpan w:val="2"/>
            <w:vAlign w:val="center"/>
          </w:tcPr>
          <w:p>
            <w:pPr>
              <w:spacing w:before="100" w:beforeAutospacing="1" w:after="100" w:afterAutospacing="1" w:line="160" w:lineRule="atLeast"/>
              <w:jc w:val="center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响应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报价</w:t>
            </w:r>
          </w:p>
        </w:tc>
        <w:tc>
          <w:tcPr>
            <w:tcW w:w="3906" w:type="dxa"/>
            <w:vAlign w:val="center"/>
          </w:tcPr>
          <w:p>
            <w:pPr>
              <w:spacing w:before="100" w:beforeAutospacing="1" w:after="100" w:afterAutospacing="1" w:line="160" w:lineRule="atLeast"/>
              <w:jc w:val="left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响应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报价超过</w:t>
            </w: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采购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文件中规定的最高限价的；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851" w:type="dxa"/>
            <w:vMerge w:val="continue"/>
            <w:vAlign w:val="center"/>
          </w:tcPr>
          <w:p>
            <w:pPr>
              <w:spacing w:before="100" w:beforeAutospacing="1" w:after="100" w:afterAutospacing="1" w:line="160" w:lineRule="atLeast"/>
              <w:rPr>
                <w:rFonts w:ascii="华文楷体" w:hAnsi="华文楷体" w:eastAsia="华文楷体" w:cs="华文楷体"/>
                <w:szCs w:val="21"/>
              </w:rPr>
            </w:pPr>
          </w:p>
        </w:tc>
        <w:tc>
          <w:tcPr>
            <w:tcW w:w="1013" w:type="dxa"/>
            <w:vMerge w:val="continue"/>
            <w:vAlign w:val="center"/>
          </w:tcPr>
          <w:p>
            <w:pPr>
              <w:spacing w:before="100" w:beforeAutospacing="1" w:after="100" w:afterAutospacing="1" w:line="160" w:lineRule="atLeast"/>
              <w:rPr>
                <w:rFonts w:ascii="华文楷体" w:hAnsi="华文楷体" w:eastAsia="华文楷体" w:cs="华文楷体"/>
                <w:szCs w:val="21"/>
              </w:rPr>
            </w:pPr>
          </w:p>
        </w:tc>
        <w:tc>
          <w:tcPr>
            <w:tcW w:w="4275" w:type="dxa"/>
            <w:gridSpan w:val="2"/>
            <w:vAlign w:val="center"/>
          </w:tcPr>
          <w:p>
            <w:pPr>
              <w:spacing w:before="100" w:beforeAutospacing="1" w:after="100" w:afterAutospacing="1" w:line="160" w:lineRule="atLeast"/>
              <w:jc w:val="center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不能接受的附加条件</w:t>
            </w:r>
          </w:p>
        </w:tc>
        <w:tc>
          <w:tcPr>
            <w:tcW w:w="3906" w:type="dxa"/>
            <w:vAlign w:val="center"/>
          </w:tcPr>
          <w:p>
            <w:pPr>
              <w:spacing w:before="100" w:beforeAutospacing="1" w:after="100" w:afterAutospacing="1" w:line="160" w:lineRule="atLeast"/>
              <w:jc w:val="left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响应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文件含有采购人不能接受的附加条件的;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851" w:type="dxa"/>
            <w:vMerge w:val="continue"/>
            <w:vAlign w:val="center"/>
          </w:tcPr>
          <w:p>
            <w:pPr>
              <w:spacing w:before="100" w:beforeAutospacing="1" w:after="100" w:afterAutospacing="1" w:line="160" w:lineRule="atLeast"/>
              <w:rPr>
                <w:rFonts w:ascii="华文楷体" w:hAnsi="华文楷体" w:eastAsia="华文楷体" w:cs="华文楷体"/>
                <w:szCs w:val="21"/>
              </w:rPr>
            </w:pPr>
          </w:p>
        </w:tc>
        <w:tc>
          <w:tcPr>
            <w:tcW w:w="1013" w:type="dxa"/>
            <w:vMerge w:val="continue"/>
            <w:vAlign w:val="center"/>
          </w:tcPr>
          <w:p>
            <w:pPr>
              <w:spacing w:before="100" w:beforeAutospacing="1" w:after="100" w:afterAutospacing="1" w:line="160" w:lineRule="atLeast"/>
              <w:rPr>
                <w:rFonts w:ascii="华文楷体" w:hAnsi="华文楷体" w:eastAsia="华文楷体" w:cs="华文楷体"/>
                <w:szCs w:val="21"/>
              </w:rPr>
            </w:pPr>
          </w:p>
        </w:tc>
        <w:tc>
          <w:tcPr>
            <w:tcW w:w="4275" w:type="dxa"/>
            <w:gridSpan w:val="2"/>
            <w:vAlign w:val="center"/>
          </w:tcPr>
          <w:p>
            <w:pPr>
              <w:spacing w:before="100" w:beforeAutospacing="1" w:after="100" w:afterAutospacing="1" w:line="160" w:lineRule="atLeast"/>
              <w:jc w:val="center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其他无效情形</w:t>
            </w:r>
          </w:p>
        </w:tc>
        <w:tc>
          <w:tcPr>
            <w:tcW w:w="3906" w:type="dxa"/>
            <w:vAlign w:val="center"/>
          </w:tcPr>
          <w:p>
            <w:pPr>
              <w:spacing w:before="100" w:beforeAutospacing="1" w:after="100" w:afterAutospacing="1" w:line="160" w:lineRule="atLeast"/>
              <w:jc w:val="left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法律、法规和</w:t>
            </w: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采购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文件规定的其他无效情形。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tblHeader/>
          <w:jc w:val="center"/>
        </w:trPr>
        <w:tc>
          <w:tcPr>
            <w:tcW w:w="851" w:type="dxa"/>
            <w:vAlign w:val="center"/>
          </w:tcPr>
          <w:p>
            <w:pPr>
              <w:spacing w:before="100" w:beforeAutospacing="1" w:after="100" w:afterAutospacing="1" w:line="240" w:lineRule="atLeast"/>
              <w:jc w:val="center"/>
              <w:rPr>
                <w:rFonts w:ascii="华文楷体" w:hAnsi="华文楷体" w:eastAsia="华文楷体" w:cs="华文楷体"/>
                <w:b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szCs w:val="21"/>
              </w:rPr>
              <w:t>条款号</w:t>
            </w:r>
          </w:p>
        </w:tc>
        <w:tc>
          <w:tcPr>
            <w:tcW w:w="1013" w:type="dxa"/>
            <w:vAlign w:val="center"/>
          </w:tcPr>
          <w:p>
            <w:pPr>
              <w:spacing w:before="100" w:beforeAutospacing="1" w:after="100" w:afterAutospacing="1" w:line="240" w:lineRule="atLeast"/>
              <w:jc w:val="center"/>
              <w:rPr>
                <w:rFonts w:ascii="华文楷体" w:hAnsi="华文楷体" w:eastAsia="华文楷体" w:cs="华文楷体"/>
                <w:b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szCs w:val="21"/>
              </w:rPr>
              <w:t>评审程序</w:t>
            </w:r>
          </w:p>
        </w:tc>
        <w:tc>
          <w:tcPr>
            <w:tcW w:w="8181" w:type="dxa"/>
            <w:gridSpan w:val="3"/>
            <w:vAlign w:val="center"/>
          </w:tcPr>
          <w:p>
            <w:pPr>
              <w:spacing w:before="100" w:beforeAutospacing="1" w:after="100" w:afterAutospacing="1" w:line="240" w:lineRule="atLeast"/>
              <w:jc w:val="center"/>
              <w:rPr>
                <w:rFonts w:ascii="华文楷体" w:hAnsi="华文楷体" w:eastAsia="华文楷体" w:cs="华文楷体"/>
                <w:b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szCs w:val="21"/>
              </w:rPr>
              <w:t>评 审 内 容 及 标 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  <w:jc w:val="center"/>
        </w:trPr>
        <w:tc>
          <w:tcPr>
            <w:tcW w:w="851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3.2</w:t>
            </w:r>
          </w:p>
        </w:tc>
        <w:tc>
          <w:tcPr>
            <w:tcW w:w="1013" w:type="dxa"/>
            <w:vMerge w:val="restart"/>
            <w:vAlign w:val="center"/>
          </w:tcPr>
          <w:p>
            <w:pPr>
              <w:spacing w:line="240" w:lineRule="atLeast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详细评审标准</w:t>
            </w:r>
          </w:p>
        </w:tc>
        <w:tc>
          <w:tcPr>
            <w:tcW w:w="1593" w:type="dxa"/>
            <w:vAlign w:val="center"/>
          </w:tcPr>
          <w:p>
            <w:pPr>
              <w:spacing w:line="240" w:lineRule="atLeast"/>
              <w:jc w:val="center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1、</w:t>
            </w: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评审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总得分计算公式</w:t>
            </w:r>
          </w:p>
        </w:tc>
        <w:tc>
          <w:tcPr>
            <w:tcW w:w="6588" w:type="dxa"/>
            <w:gridSpan w:val="2"/>
            <w:vAlign w:val="center"/>
          </w:tcPr>
          <w:p>
            <w:pPr>
              <w:spacing w:line="240" w:lineRule="atLeast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响应人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的</w:t>
            </w: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评审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总得分＝F1＋F2＋F3</w:t>
            </w:r>
          </w:p>
          <w:p>
            <w:pPr>
              <w:spacing w:line="240" w:lineRule="atLeast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其中：①F1、F2、F3分别为</w:t>
            </w: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响应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报价、技术部分、商务部分3项评分因素的汇总得分；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Merge w:val="continue"/>
            <w:vAlign w:val="center"/>
          </w:tcPr>
          <w:p>
            <w:pPr>
              <w:spacing w:line="240" w:lineRule="atLeast"/>
              <w:rPr>
                <w:rFonts w:ascii="华文楷体" w:hAnsi="华文楷体" w:eastAsia="华文楷体" w:cs="华文楷体"/>
                <w:szCs w:val="21"/>
              </w:rPr>
            </w:pPr>
          </w:p>
        </w:tc>
        <w:tc>
          <w:tcPr>
            <w:tcW w:w="1013" w:type="dxa"/>
            <w:vMerge w:val="continue"/>
            <w:vAlign w:val="center"/>
          </w:tcPr>
          <w:p>
            <w:pPr>
              <w:spacing w:line="240" w:lineRule="atLeast"/>
              <w:rPr>
                <w:rFonts w:ascii="华文楷体" w:hAnsi="华文楷体" w:eastAsia="华文楷体" w:cs="华文楷体"/>
                <w:szCs w:val="21"/>
              </w:rPr>
            </w:pPr>
          </w:p>
        </w:tc>
        <w:tc>
          <w:tcPr>
            <w:tcW w:w="1593" w:type="dxa"/>
            <w:vAlign w:val="center"/>
          </w:tcPr>
          <w:p>
            <w:pPr>
              <w:spacing w:line="240" w:lineRule="atLeast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2、评分因素</w:t>
            </w:r>
          </w:p>
          <w:p>
            <w:pPr>
              <w:spacing w:line="240" w:lineRule="atLeast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分值及权重</w:t>
            </w:r>
          </w:p>
        </w:tc>
        <w:tc>
          <w:tcPr>
            <w:tcW w:w="6588" w:type="dxa"/>
            <w:gridSpan w:val="2"/>
            <w:vAlign w:val="center"/>
          </w:tcPr>
          <w:p>
            <w:pPr>
              <w:spacing w:line="240" w:lineRule="atLeast"/>
              <w:ind w:left="1258" w:hanging="1258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响应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报价F1：满分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50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分。技术部分F2：满分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30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分。</w:t>
            </w:r>
          </w:p>
          <w:p>
            <w:pPr>
              <w:spacing w:line="240" w:lineRule="atLeast"/>
              <w:ind w:left="1258" w:hanging="1258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商务部分F3：满分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2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Merge w:val="continue"/>
            <w:vAlign w:val="center"/>
          </w:tcPr>
          <w:p>
            <w:pPr>
              <w:spacing w:line="240" w:lineRule="atLeast"/>
              <w:rPr>
                <w:rFonts w:ascii="华文楷体" w:hAnsi="华文楷体" w:eastAsia="华文楷体" w:cs="华文楷体"/>
                <w:szCs w:val="21"/>
              </w:rPr>
            </w:pPr>
          </w:p>
        </w:tc>
        <w:tc>
          <w:tcPr>
            <w:tcW w:w="1013" w:type="dxa"/>
            <w:vMerge w:val="continue"/>
            <w:vAlign w:val="center"/>
          </w:tcPr>
          <w:p>
            <w:pPr>
              <w:spacing w:line="240" w:lineRule="atLeast"/>
              <w:rPr>
                <w:rFonts w:ascii="华文楷体" w:hAnsi="华文楷体" w:eastAsia="华文楷体" w:cs="华文楷体"/>
                <w:szCs w:val="21"/>
              </w:rPr>
            </w:pPr>
          </w:p>
        </w:tc>
        <w:tc>
          <w:tcPr>
            <w:tcW w:w="1593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3、</w:t>
            </w: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响应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报价</w:t>
            </w:r>
          </w:p>
          <w:p>
            <w:pPr>
              <w:spacing w:line="240" w:lineRule="atLeast"/>
              <w:jc w:val="center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评审F1</w:t>
            </w:r>
          </w:p>
          <w:p>
            <w:pPr>
              <w:spacing w:line="240" w:lineRule="atLeast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（满分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5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0分）</w:t>
            </w:r>
          </w:p>
        </w:tc>
        <w:tc>
          <w:tcPr>
            <w:tcW w:w="658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pacing w:line="240" w:lineRule="atLeast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响应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 xml:space="preserve">报价计算公式= </w:t>
            </w:r>
            <w:r>
              <w:rPr>
                <w:rFonts w:hint="eastAsia" w:ascii="华文楷体" w:hAnsi="华文楷体" w:eastAsia="华文楷体" w:cs="华文楷体"/>
                <w:position w:val="-26"/>
                <w:szCs w:val="21"/>
              </w:rPr>
              <w:object>
                <v:shape id="_x0000_i1025" o:spt="75" type="#_x0000_t75" style="height:36pt;width:77.6pt;" o:ole="t" filled="f" o:preferrelative="t" stroked="f" coordsize="21600,21600">
                  <v:path/>
                  <v:fill on="f" focussize="0,0"/>
                  <v:stroke on="f" joinstyle="miter"/>
                  <v:imagedata r:id="rId5" o:title="341228446826312"/>
                  <o:lock v:ext="edit" aspectratio="t"/>
                  <w10:wrap type="none"/>
                  <w10:anchorlock/>
                </v:shape>
                <o:OLEObject Type="Embed" ProgID="Equation.3" ShapeID="_x0000_i1025" DrawAspect="Content" ObjectID="_1468075725" r:id="rId4">
                  <o:LockedField>false</o:LockedField>
                </o:OLEObject>
              </w:object>
            </w:r>
            <w:r>
              <w:rPr>
                <w:rFonts w:hint="eastAsia" w:ascii="华文楷体" w:hAnsi="华文楷体" w:eastAsia="华文楷体" w:cs="华文楷体"/>
                <w:szCs w:val="21"/>
              </w:rPr>
              <w:t>×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5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0</w:t>
            </w:r>
          </w:p>
          <w:p>
            <w:pPr>
              <w:adjustRightInd w:val="0"/>
              <w:spacing w:line="240" w:lineRule="atLeast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即：F1=[C/（B1，B2，…，Bn）]×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5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0</w:t>
            </w:r>
          </w:p>
          <w:p>
            <w:pPr>
              <w:adjustRightInd w:val="0"/>
              <w:spacing w:line="240" w:lineRule="atLeast"/>
              <w:rPr>
                <w:rFonts w:hint="eastAsia"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注：C为</w:t>
            </w: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评审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基准价，即经初步审查合格且</w:t>
            </w: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响应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价格最低的有效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平均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报价；B1，B2，…，Bn为第n个经初步审查合格的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平均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报价</w:t>
            </w:r>
            <w:r>
              <w:rPr>
                <w:rFonts w:hint="eastAsia" w:ascii="华文楷体" w:hAnsi="华文楷体" w:eastAsia="华文楷体" w:cs="华文楷体"/>
                <w:szCs w:val="21"/>
                <w:vertAlign w:val="baseline"/>
                <w:lang w:val="en-US" w:eastAsia="zh-CN"/>
              </w:rPr>
              <w:t>。采购文件中未说明且品规型号多的，评审专家组依据价格、使用量、临床应用情况指定代表品及其权重，代表品数量可以为一种或多种。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3.3</w:t>
            </w:r>
          </w:p>
        </w:tc>
        <w:tc>
          <w:tcPr>
            <w:tcW w:w="1013" w:type="dxa"/>
            <w:vMerge w:val="restart"/>
            <w:vAlign w:val="center"/>
          </w:tcPr>
          <w:p>
            <w:pPr>
              <w:spacing w:line="240" w:lineRule="atLeast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详细评审标准</w:t>
            </w:r>
          </w:p>
        </w:tc>
        <w:tc>
          <w:tcPr>
            <w:tcW w:w="1593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4、技术部分</w:t>
            </w:r>
          </w:p>
          <w:p>
            <w:pPr>
              <w:spacing w:line="240" w:lineRule="atLeast"/>
              <w:jc w:val="center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评审F2</w:t>
            </w:r>
          </w:p>
          <w:p>
            <w:pPr>
              <w:spacing w:line="240" w:lineRule="atLeast"/>
              <w:jc w:val="center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（满分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3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0分）</w:t>
            </w:r>
          </w:p>
        </w:tc>
        <w:tc>
          <w:tcPr>
            <w:tcW w:w="6588" w:type="dxa"/>
            <w:gridSpan w:val="2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240" w:lineRule="atLeast"/>
              <w:jc w:val="left"/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  <w:lang w:val="en-US" w:eastAsia="zh-CN"/>
              </w:rPr>
              <w:t>1.</w:t>
            </w: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  <w:t>技术</w:t>
            </w: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  <w:lang w:eastAsia="zh-CN"/>
              </w:rPr>
              <w:t>、</w:t>
            </w: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  <w:t>样品评审(满分</w:t>
            </w: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  <w:lang w:val="en-US" w:eastAsia="zh-CN"/>
              </w:rPr>
              <w:t>30</w:t>
            </w: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  <w:t>分)</w:t>
            </w:r>
          </w:p>
          <w:p>
            <w:pPr>
              <w:snapToGrid w:val="0"/>
              <w:spacing w:line="240" w:lineRule="atLeast"/>
              <w:jc w:val="left"/>
              <w:rPr>
                <w:rFonts w:hint="eastAsia"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  <w:t>第一档次：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 xml:space="preserve">样品规格提供齐全、外观完好、质量优越、材质精良、设计精致、标识完整，得 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21-30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 xml:space="preserve"> 分；</w:t>
            </w:r>
          </w:p>
          <w:p>
            <w:pPr>
              <w:snapToGrid w:val="0"/>
              <w:spacing w:line="240" w:lineRule="atLeast"/>
              <w:jc w:val="left"/>
              <w:rPr>
                <w:rFonts w:hint="eastAsia"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  <w:t>第二档次：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 xml:space="preserve">样品规格提供基本齐全、外观普通、质量材质粗糙、样品外观无明显瑕疵或变形、设计正常，得 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11-20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 xml:space="preserve"> 分；</w:t>
            </w:r>
          </w:p>
          <w:p>
            <w:pPr>
              <w:snapToGrid w:val="0"/>
              <w:spacing w:line="240" w:lineRule="atLeast"/>
              <w:jc w:val="left"/>
              <w:rPr>
                <w:rFonts w:hint="eastAsia"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  <w:t>第三档次：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外观粗糙、设计粗劣，材质粗糙、样品外观存在瑕疵或变形，得 0-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10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 xml:space="preserve"> 分。</w:t>
            </w:r>
          </w:p>
          <w:p>
            <w:pPr>
              <w:snapToGrid w:val="0"/>
              <w:spacing w:line="240" w:lineRule="atLeast"/>
              <w:jc w:val="left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  <w:lang w:eastAsia="zh-CN"/>
              </w:rPr>
              <w:t>若无法比较样品，由评审小组综合评定打分。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Merge w:val="continue"/>
            <w:vAlign w:val="center"/>
          </w:tcPr>
          <w:p>
            <w:pPr>
              <w:spacing w:line="240" w:lineRule="atLeast"/>
              <w:rPr>
                <w:rFonts w:ascii="华文楷体" w:hAnsi="华文楷体" w:eastAsia="华文楷体" w:cs="华文楷体"/>
                <w:szCs w:val="21"/>
              </w:rPr>
            </w:pPr>
          </w:p>
        </w:tc>
        <w:tc>
          <w:tcPr>
            <w:tcW w:w="1013" w:type="dxa"/>
            <w:vMerge w:val="continue"/>
            <w:vAlign w:val="center"/>
          </w:tcPr>
          <w:p>
            <w:pPr>
              <w:spacing w:line="240" w:lineRule="atLeast"/>
              <w:rPr>
                <w:rFonts w:ascii="华文楷体" w:hAnsi="华文楷体" w:eastAsia="华文楷体" w:cs="华文楷体"/>
                <w:szCs w:val="21"/>
              </w:rPr>
            </w:pPr>
          </w:p>
        </w:tc>
        <w:tc>
          <w:tcPr>
            <w:tcW w:w="1593" w:type="dxa"/>
            <w:vAlign w:val="center"/>
          </w:tcPr>
          <w:p>
            <w:pPr>
              <w:spacing w:line="240" w:lineRule="atLeast"/>
              <w:jc w:val="center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5、商务部分</w:t>
            </w:r>
          </w:p>
          <w:p>
            <w:pPr>
              <w:spacing w:line="240" w:lineRule="atLeast"/>
              <w:jc w:val="center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评审F3</w:t>
            </w:r>
          </w:p>
          <w:p>
            <w:pPr>
              <w:spacing w:line="240" w:lineRule="atLeast"/>
              <w:jc w:val="center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（满分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2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0分）</w:t>
            </w:r>
          </w:p>
        </w:tc>
        <w:tc>
          <w:tcPr>
            <w:tcW w:w="6588" w:type="dxa"/>
            <w:gridSpan w:val="2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  <w:t>1.耗材供应保障情况评分（满分</w:t>
            </w: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  <w:lang w:val="en-US" w:eastAsia="zh-CN"/>
              </w:rPr>
              <w:t>5</w:t>
            </w: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  <w:t>分）</w:t>
            </w:r>
          </w:p>
          <w:p>
            <w:pPr>
              <w:snapToGrid w:val="0"/>
              <w:spacing w:line="240" w:lineRule="atLeast"/>
              <w:jc w:val="left"/>
              <w:rPr>
                <w:rFonts w:hint="eastAsia" w:ascii="华文楷体" w:hAnsi="华文楷体" w:eastAsia="华文楷体" w:cs="华文楷体"/>
                <w:szCs w:val="21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  <w:t>第一档次：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耗材供应保障能力较强，供货响应迅速，响应人对采购人配合度较高，响应人有充足的备货量，有完善的备货预警机制，有可行的紧急调货预案</w:t>
            </w: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，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得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4-5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分</w:t>
            </w: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；</w:t>
            </w:r>
          </w:p>
          <w:p>
            <w:pPr>
              <w:snapToGrid w:val="0"/>
              <w:spacing w:line="240" w:lineRule="atLeast"/>
              <w:jc w:val="left"/>
              <w:rPr>
                <w:rFonts w:hint="eastAsia"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  <w:t>第二档次：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耗材供应保障能力一般，供货及时，响应人对采购人配合度一般，有一定数量的备货；有备货预警机制，但该机制不完善；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有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紧急调货预案，但该预案可行性不足</w:t>
            </w: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，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得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2-3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分</w:t>
            </w: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；</w:t>
            </w:r>
          </w:p>
          <w:p>
            <w:pPr>
              <w:snapToGrid w:val="0"/>
              <w:spacing w:line="240" w:lineRule="atLeast"/>
              <w:jc w:val="left"/>
              <w:rPr>
                <w:rFonts w:hint="eastAsia"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  <w:t>第三档次：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耗材供应保障能力较弱，不能满足采购人需求，响应人对采购人配合度较低</w:t>
            </w: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，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得0-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1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分。</w:t>
            </w:r>
          </w:p>
          <w:p>
            <w:pPr>
              <w:snapToGrid w:val="0"/>
              <w:spacing w:line="240" w:lineRule="atLeast"/>
              <w:jc w:val="left"/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  <w:t>2.售后服务（满分5分）</w:t>
            </w:r>
          </w:p>
          <w:p>
            <w:pPr>
              <w:snapToGrid w:val="0"/>
              <w:spacing w:line="240" w:lineRule="atLeast"/>
              <w:jc w:val="left"/>
              <w:rPr>
                <w:rFonts w:hint="eastAsia"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提供完善的售后服务方案，至少包括性能验证、投诉处理、不良事件处理、售后服务流程、响应/处理时间、负责人及负责人电话、质量监管及处罚等。方案合理、操作性强，且切实可行。</w:t>
            </w:r>
          </w:p>
          <w:p>
            <w:pPr>
              <w:snapToGrid w:val="0"/>
              <w:spacing w:line="240" w:lineRule="atLeast"/>
              <w:jc w:val="left"/>
              <w:rPr>
                <w:rFonts w:hint="eastAsia"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  <w:t>第一档次：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售后服务方案全面、合理可行，方案安排科学合理、可操作性强</w:t>
            </w: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，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得4-5分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；</w:t>
            </w:r>
          </w:p>
          <w:p>
            <w:pPr>
              <w:snapToGrid w:val="0"/>
              <w:spacing w:line="240" w:lineRule="atLeast"/>
              <w:jc w:val="left"/>
              <w:rPr>
                <w:rFonts w:hint="eastAsia"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  <w:t>第二档次：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售后服务方案可行，方案安排可行，有一定的针对性</w:t>
            </w: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，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得2-3分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；</w:t>
            </w:r>
          </w:p>
          <w:p>
            <w:pPr>
              <w:snapToGrid w:val="0"/>
              <w:spacing w:line="240" w:lineRule="atLeast"/>
              <w:jc w:val="left"/>
              <w:rPr>
                <w:rFonts w:hint="eastAsia"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  <w:t>第三档次：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售后服务方案有明显瑕疵，方案安排有瑕疵</w:t>
            </w: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，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得0-1分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。</w:t>
            </w:r>
          </w:p>
          <w:p>
            <w:pPr>
              <w:snapToGrid w:val="0"/>
              <w:spacing w:line="240" w:lineRule="atLeast"/>
              <w:jc w:val="left"/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  <w:t>3.类似产品销售业绩（满分5分）</w:t>
            </w:r>
          </w:p>
          <w:p>
            <w:pPr>
              <w:snapToGrid w:val="0"/>
              <w:spacing w:line="240" w:lineRule="atLeast"/>
              <w:jc w:val="left"/>
              <w:rPr>
                <w:rFonts w:hint="eastAsia"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近三年（20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21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年至今）类似产品销售业绩（供货凭证、中标通知、合同等）注：业绩的有效时间以证明文件的时间为准，提供一项得1分，增加一项，加1分，加满为止。</w:t>
            </w:r>
          </w:p>
          <w:p>
            <w:pPr>
              <w:snapToGrid w:val="0"/>
              <w:spacing w:line="240" w:lineRule="atLeast"/>
              <w:jc w:val="left"/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  <w:lang w:val="en-US" w:eastAsia="zh-CN"/>
              </w:rPr>
              <w:t>4</w:t>
            </w: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  <w:t>.</w:t>
            </w: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  <w:lang w:eastAsia="zh-CN"/>
              </w:rPr>
              <w:t>厂家授权</w:t>
            </w: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  <w:lang w:val="en-US" w:eastAsia="zh-CN"/>
              </w:rPr>
              <w:t>情况</w:t>
            </w: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  <w:t>（满分5分）</w:t>
            </w:r>
          </w:p>
          <w:p>
            <w:pPr>
              <w:snapToGrid w:val="0"/>
              <w:spacing w:line="240" w:lineRule="atLeast"/>
              <w:jc w:val="left"/>
              <w:rPr>
                <w:rFonts w:hint="default" w:ascii="华文楷体" w:hAnsi="华文楷体" w:eastAsia="华文楷体" w:cs="华文楷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厂家直供，得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5分；一级授权，得4分；二级授权，得3分；三级及其他授权，得1分；无授权，得0分。</w:t>
            </w:r>
          </w:p>
        </w:tc>
      </w:tr>
    </w:tbl>
    <w:p>
      <w:pPr>
        <w:pStyle w:val="3"/>
        <w:outlineLvl w:val="1"/>
        <w:rPr>
          <w:rFonts w:ascii="华文楷体" w:hAnsi="华文楷体" w:eastAsia="华文楷体" w:cs="华文楷体"/>
          <w:sz w:val="24"/>
        </w:rPr>
      </w:pPr>
      <w:bookmarkStart w:id="2" w:name="_Toc16081"/>
      <w:bookmarkStart w:id="3" w:name="_Toc16028"/>
      <w:r>
        <w:rPr>
          <w:rFonts w:hint="eastAsia" w:ascii="华文楷体" w:hAnsi="华文楷体" w:eastAsia="华文楷体" w:cs="华文楷体"/>
          <w:sz w:val="24"/>
        </w:rPr>
        <w:t>一、</w:t>
      </w:r>
      <w:r>
        <w:rPr>
          <w:rFonts w:hint="eastAsia" w:ascii="华文楷体" w:hAnsi="华文楷体" w:eastAsia="华文楷体" w:cs="华文楷体"/>
          <w:sz w:val="24"/>
          <w:lang w:eastAsia="zh-CN"/>
        </w:rPr>
        <w:t>评审</w:t>
      </w:r>
      <w:r>
        <w:rPr>
          <w:rFonts w:hint="eastAsia" w:ascii="华文楷体" w:hAnsi="华文楷体" w:eastAsia="华文楷体" w:cs="华文楷体"/>
          <w:sz w:val="24"/>
        </w:rPr>
        <w:t>方法</w:t>
      </w:r>
      <w:bookmarkEnd w:id="2"/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="华文楷体" w:hAnsi="华文楷体" w:eastAsia="华文楷体" w:cs="华文楷体"/>
          <w:b w:val="0"/>
          <w:bCs w:val="0"/>
          <w:sz w:val="24"/>
        </w:rPr>
      </w:pPr>
      <w:r>
        <w:rPr>
          <w:rFonts w:hint="eastAsia" w:ascii="华文楷体" w:hAnsi="华文楷体" w:eastAsia="华文楷体" w:cs="华文楷体"/>
          <w:b w:val="0"/>
          <w:bCs w:val="0"/>
          <w:sz w:val="24"/>
          <w:lang w:eastAsia="zh-CN"/>
        </w:rPr>
        <w:t>评审小组</w:t>
      </w:r>
      <w:r>
        <w:rPr>
          <w:rFonts w:ascii="华文楷体" w:hAnsi="华文楷体" w:eastAsia="华文楷体" w:cs="华文楷体"/>
          <w:b w:val="0"/>
          <w:bCs w:val="0"/>
          <w:sz w:val="24"/>
        </w:rPr>
        <w:t>对满足</w:t>
      </w:r>
      <w:r>
        <w:rPr>
          <w:rFonts w:hint="eastAsia" w:ascii="华文楷体" w:hAnsi="华文楷体" w:eastAsia="华文楷体" w:cs="华文楷体"/>
          <w:b w:val="0"/>
          <w:bCs w:val="0"/>
          <w:sz w:val="24"/>
          <w:lang w:eastAsia="zh-CN"/>
        </w:rPr>
        <w:t>采购</w:t>
      </w:r>
      <w:r>
        <w:rPr>
          <w:rFonts w:ascii="华文楷体" w:hAnsi="华文楷体" w:eastAsia="华文楷体" w:cs="华文楷体"/>
          <w:b w:val="0"/>
          <w:bCs w:val="0"/>
          <w:sz w:val="24"/>
        </w:rPr>
        <w:t>文件全部实质性要求（即通过资格性评审及符合性评审）的</w:t>
      </w:r>
      <w:r>
        <w:rPr>
          <w:rFonts w:hint="eastAsia" w:ascii="华文楷体" w:hAnsi="华文楷体" w:eastAsia="华文楷体" w:cs="华文楷体"/>
          <w:b w:val="0"/>
          <w:bCs w:val="0"/>
          <w:sz w:val="24"/>
          <w:lang w:eastAsia="zh-CN"/>
        </w:rPr>
        <w:t>响应</w:t>
      </w:r>
      <w:r>
        <w:rPr>
          <w:rFonts w:ascii="华文楷体" w:hAnsi="华文楷体" w:eastAsia="华文楷体" w:cs="华文楷体"/>
          <w:b w:val="0"/>
          <w:bCs w:val="0"/>
          <w:sz w:val="24"/>
        </w:rPr>
        <w:t>文件，按照本章前附表规定的评分标准进行打分，并按</w:t>
      </w:r>
      <w:r>
        <w:rPr>
          <w:rFonts w:hint="eastAsia" w:ascii="华文楷体" w:hAnsi="华文楷体" w:eastAsia="华文楷体" w:cs="华文楷体"/>
          <w:b w:val="0"/>
          <w:bCs w:val="0"/>
          <w:sz w:val="24"/>
          <w:lang w:eastAsia="zh-CN"/>
        </w:rPr>
        <w:t>评审</w:t>
      </w:r>
      <w:r>
        <w:rPr>
          <w:rFonts w:ascii="华文楷体" w:hAnsi="华文楷体" w:eastAsia="华文楷体" w:cs="华文楷体"/>
          <w:b w:val="0"/>
          <w:bCs w:val="0"/>
          <w:sz w:val="24"/>
        </w:rPr>
        <w:t>总得分计算公式计算</w:t>
      </w:r>
      <w:r>
        <w:rPr>
          <w:rFonts w:hint="eastAsia" w:ascii="华文楷体" w:hAnsi="华文楷体" w:eastAsia="华文楷体" w:cs="华文楷体"/>
          <w:b w:val="0"/>
          <w:bCs w:val="0"/>
          <w:sz w:val="24"/>
          <w:lang w:eastAsia="zh-CN"/>
        </w:rPr>
        <w:t>评审</w:t>
      </w:r>
      <w:r>
        <w:rPr>
          <w:rFonts w:ascii="华文楷体" w:hAnsi="华文楷体" w:eastAsia="华文楷体" w:cs="华文楷体"/>
          <w:b w:val="0"/>
          <w:bCs w:val="0"/>
          <w:sz w:val="24"/>
        </w:rPr>
        <w:t>总得分</w:t>
      </w:r>
      <w:r>
        <w:rPr>
          <w:rFonts w:hint="eastAsia" w:ascii="华文楷体" w:hAnsi="华文楷体" w:eastAsia="华文楷体" w:cs="华文楷体"/>
          <w:b w:val="0"/>
          <w:bCs w:val="0"/>
          <w:sz w:val="24"/>
        </w:rPr>
        <w:t>。</w:t>
      </w:r>
    </w:p>
    <w:p>
      <w:pPr>
        <w:pStyle w:val="3"/>
        <w:outlineLvl w:val="1"/>
        <w:rPr>
          <w:rFonts w:ascii="华文楷体" w:hAnsi="华文楷体" w:eastAsia="华文楷体" w:cs="华文楷体"/>
          <w:sz w:val="24"/>
        </w:rPr>
      </w:pPr>
      <w:bookmarkStart w:id="4" w:name="_Toc14948"/>
      <w:bookmarkStart w:id="5" w:name="_Toc28122"/>
      <w:r>
        <w:rPr>
          <w:rFonts w:hint="eastAsia" w:ascii="华文楷体" w:hAnsi="华文楷体" w:eastAsia="华文楷体" w:cs="华文楷体"/>
          <w:sz w:val="24"/>
        </w:rPr>
        <w:t>二、</w:t>
      </w:r>
      <w:r>
        <w:rPr>
          <w:rFonts w:hint="eastAsia" w:ascii="华文楷体" w:hAnsi="华文楷体" w:eastAsia="华文楷体" w:cs="华文楷体"/>
          <w:sz w:val="24"/>
          <w:lang w:eastAsia="zh-CN"/>
        </w:rPr>
        <w:t>评审</w:t>
      </w:r>
      <w:r>
        <w:rPr>
          <w:rFonts w:ascii="华文楷体" w:hAnsi="华文楷体" w:eastAsia="华文楷体" w:cs="华文楷体"/>
          <w:sz w:val="24"/>
        </w:rPr>
        <w:t>程序及标准</w:t>
      </w:r>
      <w:bookmarkEnd w:id="4"/>
      <w:bookmarkEnd w:id="5"/>
    </w:p>
    <w:p>
      <w:pPr>
        <w:spacing w:line="360" w:lineRule="auto"/>
        <w:outlineLvl w:val="2"/>
        <w:rPr>
          <w:rFonts w:ascii="华文楷体" w:hAnsi="华文楷体" w:eastAsia="华文楷体" w:cs="华文楷体"/>
          <w:sz w:val="24"/>
        </w:rPr>
      </w:pPr>
      <w:r>
        <w:rPr>
          <w:rFonts w:ascii="华文楷体" w:hAnsi="华文楷体" w:eastAsia="华文楷体" w:cs="华文楷体"/>
          <w:sz w:val="24"/>
        </w:rPr>
        <w:t>1符合性评审</w:t>
      </w:r>
    </w:p>
    <w:p>
      <w:pPr>
        <w:spacing w:line="360" w:lineRule="auto"/>
        <w:rPr>
          <w:rFonts w:ascii="华文楷体" w:hAnsi="华文楷体" w:eastAsia="华文楷体" w:cs="华文楷体"/>
          <w:sz w:val="24"/>
        </w:rPr>
      </w:pPr>
      <w:r>
        <w:rPr>
          <w:rFonts w:ascii="华文楷体" w:hAnsi="华文楷体" w:eastAsia="华文楷体" w:cs="华文楷体"/>
          <w:sz w:val="24"/>
        </w:rPr>
        <w:t>依据</w:t>
      </w:r>
      <w:r>
        <w:rPr>
          <w:rFonts w:hint="eastAsia" w:ascii="华文楷体" w:hAnsi="华文楷体" w:eastAsia="华文楷体" w:cs="华文楷体"/>
          <w:sz w:val="24"/>
          <w:lang w:eastAsia="zh-CN"/>
        </w:rPr>
        <w:t>采购</w:t>
      </w:r>
      <w:r>
        <w:rPr>
          <w:rFonts w:ascii="华文楷体" w:hAnsi="华文楷体" w:eastAsia="华文楷体" w:cs="华文楷体"/>
          <w:sz w:val="24"/>
        </w:rPr>
        <w:t>文件的规定，</w:t>
      </w:r>
      <w:r>
        <w:rPr>
          <w:rFonts w:hint="eastAsia" w:ascii="华文楷体" w:hAnsi="华文楷体" w:eastAsia="华文楷体" w:cs="华文楷体"/>
          <w:sz w:val="24"/>
          <w:lang w:eastAsia="zh-CN"/>
        </w:rPr>
        <w:t>评审小组</w:t>
      </w:r>
      <w:r>
        <w:rPr>
          <w:rFonts w:ascii="华文楷体" w:hAnsi="华文楷体" w:eastAsia="华文楷体" w:cs="华文楷体"/>
          <w:sz w:val="24"/>
        </w:rPr>
        <w:t>对符合资格的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响应人</w:t>
      </w:r>
      <w:r>
        <w:rPr>
          <w:rFonts w:ascii="华文楷体" w:hAnsi="华文楷体" w:eastAsia="华文楷体" w:cs="华文楷体"/>
          <w:sz w:val="24"/>
        </w:rPr>
        <w:t>的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</w:t>
      </w:r>
      <w:r>
        <w:rPr>
          <w:rFonts w:ascii="华文楷体" w:hAnsi="华文楷体" w:eastAsia="华文楷体" w:cs="华文楷体"/>
          <w:sz w:val="24"/>
        </w:rPr>
        <w:t>文件从有效性、完整性和对</w:t>
      </w:r>
      <w:r>
        <w:rPr>
          <w:rFonts w:hint="eastAsia" w:ascii="华文楷体" w:hAnsi="华文楷体" w:eastAsia="华文楷体" w:cs="华文楷体"/>
          <w:sz w:val="24"/>
          <w:lang w:eastAsia="zh-CN"/>
        </w:rPr>
        <w:t>采购</w:t>
      </w:r>
      <w:r>
        <w:rPr>
          <w:rFonts w:ascii="华文楷体" w:hAnsi="华文楷体" w:eastAsia="华文楷体" w:cs="华文楷体"/>
          <w:sz w:val="24"/>
        </w:rPr>
        <w:t>文件的实质性响应程度等方面进行审查，见</w:t>
      </w:r>
      <w:r>
        <w:rPr>
          <w:rFonts w:hint="eastAsia" w:ascii="华文楷体" w:hAnsi="华文楷体" w:eastAsia="华文楷体" w:cs="华文楷体"/>
          <w:sz w:val="24"/>
          <w:lang w:eastAsia="zh-CN"/>
        </w:rPr>
        <w:t>评审</w:t>
      </w:r>
      <w:r>
        <w:rPr>
          <w:rFonts w:ascii="华文楷体" w:hAnsi="华文楷体" w:eastAsia="华文楷体" w:cs="华文楷体"/>
          <w:sz w:val="24"/>
        </w:rPr>
        <w:t>方法前附表。</w:t>
      </w:r>
    </w:p>
    <w:p>
      <w:pPr>
        <w:spacing w:line="360" w:lineRule="auto"/>
        <w:outlineLvl w:val="2"/>
        <w:rPr>
          <w:rFonts w:ascii="华文楷体" w:hAnsi="华文楷体" w:eastAsia="华文楷体" w:cs="华文楷体"/>
          <w:sz w:val="24"/>
        </w:rPr>
      </w:pPr>
      <w:r>
        <w:rPr>
          <w:rFonts w:ascii="华文楷体" w:hAnsi="华文楷体" w:eastAsia="华文楷体" w:cs="华文楷体"/>
          <w:sz w:val="24"/>
        </w:rPr>
        <w:t>2详细评审</w:t>
      </w:r>
    </w:p>
    <w:p>
      <w:pPr>
        <w:spacing w:line="360" w:lineRule="auto"/>
        <w:rPr>
          <w:rFonts w:ascii="华文楷体" w:hAnsi="华文楷体" w:eastAsia="华文楷体" w:cs="华文楷体"/>
          <w:sz w:val="24"/>
        </w:rPr>
      </w:pPr>
      <w:r>
        <w:rPr>
          <w:rFonts w:ascii="华文楷体" w:hAnsi="华文楷体" w:eastAsia="华文楷体" w:cs="华文楷体"/>
          <w:sz w:val="24"/>
        </w:rPr>
        <w:t>2.1</w:t>
      </w:r>
      <w:r>
        <w:rPr>
          <w:rFonts w:hint="eastAsia" w:ascii="华文楷体" w:hAnsi="华文楷体" w:eastAsia="华文楷体" w:cs="华文楷体"/>
          <w:sz w:val="24"/>
          <w:lang w:eastAsia="zh-CN"/>
        </w:rPr>
        <w:t>评审小组</w:t>
      </w:r>
      <w:r>
        <w:rPr>
          <w:rFonts w:ascii="华文楷体" w:hAnsi="华文楷体" w:eastAsia="华文楷体" w:cs="华文楷体"/>
          <w:sz w:val="24"/>
        </w:rPr>
        <w:t>按照</w:t>
      </w:r>
      <w:r>
        <w:rPr>
          <w:rFonts w:hint="eastAsia" w:ascii="华文楷体" w:hAnsi="华文楷体" w:eastAsia="华文楷体" w:cs="华文楷体"/>
          <w:sz w:val="24"/>
          <w:lang w:eastAsia="zh-CN"/>
        </w:rPr>
        <w:t>采购</w:t>
      </w:r>
      <w:r>
        <w:rPr>
          <w:rFonts w:ascii="华文楷体" w:hAnsi="华文楷体" w:eastAsia="华文楷体" w:cs="华文楷体"/>
          <w:sz w:val="24"/>
        </w:rPr>
        <w:t>文件中规定的</w:t>
      </w:r>
      <w:r>
        <w:rPr>
          <w:rFonts w:hint="eastAsia" w:ascii="华文楷体" w:hAnsi="华文楷体" w:eastAsia="华文楷体" w:cs="华文楷体"/>
          <w:sz w:val="24"/>
          <w:lang w:eastAsia="zh-CN"/>
        </w:rPr>
        <w:t>评审</w:t>
      </w:r>
      <w:r>
        <w:rPr>
          <w:rFonts w:ascii="华文楷体" w:hAnsi="华文楷体" w:eastAsia="华文楷体" w:cs="华文楷体"/>
          <w:sz w:val="24"/>
        </w:rPr>
        <w:t>方法和标准，对符合性审查合格的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</w:t>
      </w:r>
      <w:r>
        <w:rPr>
          <w:rFonts w:ascii="华文楷体" w:hAnsi="华文楷体" w:eastAsia="华文楷体" w:cs="华文楷体"/>
          <w:sz w:val="24"/>
        </w:rPr>
        <w:t>文件进行商务和技术评估，综合比较与评价, 见</w:t>
      </w:r>
      <w:r>
        <w:rPr>
          <w:rFonts w:hint="eastAsia" w:ascii="华文楷体" w:hAnsi="华文楷体" w:eastAsia="华文楷体" w:cs="华文楷体"/>
          <w:sz w:val="24"/>
          <w:lang w:eastAsia="zh-CN"/>
        </w:rPr>
        <w:t>评审</w:t>
      </w:r>
      <w:r>
        <w:rPr>
          <w:rFonts w:ascii="华文楷体" w:hAnsi="华文楷体" w:eastAsia="华文楷体" w:cs="华文楷体"/>
          <w:sz w:val="24"/>
        </w:rPr>
        <w:t>方法前附表。</w:t>
      </w:r>
    </w:p>
    <w:p>
      <w:pPr>
        <w:spacing w:line="360" w:lineRule="auto"/>
        <w:rPr>
          <w:rFonts w:ascii="华文楷体" w:hAnsi="华文楷体" w:eastAsia="华文楷体" w:cs="华文楷体"/>
          <w:sz w:val="24"/>
        </w:rPr>
      </w:pPr>
      <w:r>
        <w:rPr>
          <w:rFonts w:ascii="华文楷体" w:hAnsi="华文楷体" w:eastAsia="华文楷体" w:cs="华文楷体"/>
          <w:sz w:val="24"/>
        </w:rPr>
        <w:t>2.2</w:t>
      </w:r>
      <w:r>
        <w:rPr>
          <w:rFonts w:hint="eastAsia" w:ascii="华文楷体" w:hAnsi="华文楷体" w:eastAsia="华文楷体" w:cs="华文楷体"/>
          <w:sz w:val="24"/>
          <w:lang w:eastAsia="zh-CN"/>
        </w:rPr>
        <w:t>评审小组</w:t>
      </w:r>
      <w:r>
        <w:rPr>
          <w:rFonts w:ascii="华文楷体" w:hAnsi="华文楷体" w:eastAsia="华文楷体" w:cs="华文楷体"/>
          <w:sz w:val="24"/>
        </w:rPr>
        <w:t>各成员要依法独立评审，并对评审意见承担个人责任。对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响应人</w:t>
      </w:r>
      <w:r>
        <w:rPr>
          <w:rFonts w:ascii="华文楷体" w:hAnsi="华文楷体" w:eastAsia="华文楷体" w:cs="华文楷体"/>
          <w:sz w:val="24"/>
        </w:rPr>
        <w:t>的客观评分项的评分应当一致，对其他需要借助专业知识评判的主观评分项，应当严格按照评分细则公正评分。</w:t>
      </w:r>
    </w:p>
    <w:p>
      <w:pPr>
        <w:spacing w:line="360" w:lineRule="auto"/>
        <w:rPr>
          <w:rFonts w:ascii="华文楷体" w:hAnsi="华文楷体" w:eastAsia="华文楷体" w:cs="华文楷体"/>
          <w:sz w:val="24"/>
        </w:rPr>
      </w:pPr>
      <w:r>
        <w:rPr>
          <w:rFonts w:ascii="华文楷体" w:hAnsi="华文楷体" w:eastAsia="华文楷体" w:cs="华文楷体"/>
          <w:sz w:val="24"/>
        </w:rPr>
        <w:t>2.3</w:t>
      </w:r>
      <w:r>
        <w:rPr>
          <w:rFonts w:hint="eastAsia" w:ascii="华文楷体" w:hAnsi="华文楷体" w:eastAsia="华文楷体" w:cs="华文楷体"/>
          <w:sz w:val="24"/>
          <w:lang w:eastAsia="zh-CN"/>
        </w:rPr>
        <w:t>评审小组</w:t>
      </w:r>
      <w:r>
        <w:rPr>
          <w:rFonts w:ascii="华文楷体" w:hAnsi="华文楷体" w:eastAsia="华文楷体" w:cs="华文楷体"/>
          <w:sz w:val="24"/>
        </w:rPr>
        <w:t>成员对需要共同认定的事项存在争议的，按照少数服从多数的原则做出结论。持不同意见的</w:t>
      </w:r>
      <w:r>
        <w:rPr>
          <w:rFonts w:hint="eastAsia" w:ascii="华文楷体" w:hAnsi="华文楷体" w:eastAsia="华文楷体" w:cs="华文楷体"/>
          <w:sz w:val="24"/>
          <w:lang w:eastAsia="zh-CN"/>
        </w:rPr>
        <w:t>评审小组</w:t>
      </w:r>
      <w:r>
        <w:rPr>
          <w:rFonts w:ascii="华文楷体" w:hAnsi="华文楷体" w:eastAsia="华文楷体" w:cs="华文楷体"/>
          <w:sz w:val="24"/>
        </w:rPr>
        <w:t>成员应当在</w:t>
      </w:r>
      <w:r>
        <w:rPr>
          <w:rFonts w:hint="eastAsia" w:ascii="华文楷体" w:hAnsi="华文楷体" w:eastAsia="华文楷体" w:cs="华文楷体"/>
          <w:sz w:val="24"/>
          <w:lang w:eastAsia="zh-CN"/>
        </w:rPr>
        <w:t>评审</w:t>
      </w:r>
      <w:r>
        <w:rPr>
          <w:rFonts w:ascii="华文楷体" w:hAnsi="华文楷体" w:eastAsia="华文楷体" w:cs="华文楷体"/>
          <w:sz w:val="24"/>
        </w:rPr>
        <w:t>报告上签署不同意见并说明理由，否则视为同意。</w:t>
      </w:r>
    </w:p>
    <w:p>
      <w:pPr>
        <w:spacing w:line="360" w:lineRule="auto"/>
        <w:rPr>
          <w:rFonts w:ascii="华文楷体" w:hAnsi="华文楷体" w:eastAsia="华文楷体" w:cs="华文楷体"/>
          <w:sz w:val="24"/>
        </w:rPr>
      </w:pPr>
      <w:r>
        <w:rPr>
          <w:rFonts w:ascii="华文楷体" w:hAnsi="华文楷体" w:eastAsia="华文楷体" w:cs="华文楷体"/>
          <w:sz w:val="24"/>
        </w:rPr>
        <w:t>2.4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</w:t>
      </w:r>
      <w:r>
        <w:rPr>
          <w:rFonts w:ascii="华文楷体" w:hAnsi="华文楷体" w:eastAsia="华文楷体" w:cs="华文楷体"/>
          <w:sz w:val="24"/>
        </w:rPr>
        <w:t>文件报价出现前后不一致的，按照下列规定修正：</w:t>
      </w:r>
    </w:p>
    <w:p>
      <w:pPr>
        <w:spacing w:line="360" w:lineRule="auto"/>
        <w:rPr>
          <w:rFonts w:ascii="华文楷体" w:hAnsi="华文楷体" w:eastAsia="华文楷体" w:cs="华文楷体"/>
          <w:sz w:val="24"/>
        </w:rPr>
      </w:pPr>
      <w:r>
        <w:rPr>
          <w:rFonts w:hint="eastAsia" w:ascii="华文楷体" w:hAnsi="华文楷体" w:eastAsia="华文楷体" w:cs="华文楷体"/>
          <w:sz w:val="24"/>
          <w:lang w:val="en-US" w:eastAsia="zh-CN"/>
        </w:rPr>
        <w:t>2.4.1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</w:t>
      </w:r>
      <w:r>
        <w:rPr>
          <w:rFonts w:ascii="华文楷体" w:hAnsi="华文楷体" w:eastAsia="华文楷体" w:cs="华文楷体"/>
          <w:sz w:val="24"/>
        </w:rPr>
        <w:t>文件中开标一览表（报价表）内容与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</w:t>
      </w:r>
      <w:r>
        <w:rPr>
          <w:rFonts w:ascii="华文楷体" w:hAnsi="华文楷体" w:eastAsia="华文楷体" w:cs="华文楷体"/>
          <w:sz w:val="24"/>
        </w:rPr>
        <w:t>文件中相应内容不一致的，以开标一览表（报价表）为准；</w:t>
      </w:r>
    </w:p>
    <w:p>
      <w:pPr>
        <w:spacing w:line="360" w:lineRule="auto"/>
        <w:rPr>
          <w:rFonts w:ascii="华文楷体" w:hAnsi="华文楷体" w:eastAsia="华文楷体" w:cs="华文楷体"/>
          <w:sz w:val="24"/>
        </w:rPr>
      </w:pPr>
      <w:r>
        <w:rPr>
          <w:rFonts w:hint="eastAsia" w:ascii="华文楷体" w:hAnsi="华文楷体" w:eastAsia="华文楷体" w:cs="华文楷体"/>
          <w:sz w:val="24"/>
          <w:lang w:val="en-US" w:eastAsia="zh-CN"/>
        </w:rPr>
        <w:t>2.4.2</w:t>
      </w:r>
      <w:r>
        <w:rPr>
          <w:rFonts w:ascii="华文楷体" w:hAnsi="华文楷体" w:eastAsia="华文楷体" w:cs="华文楷体"/>
          <w:sz w:val="24"/>
        </w:rPr>
        <w:t>大写金额和小写金额不一致的，以大写金额为准；</w:t>
      </w:r>
    </w:p>
    <w:p>
      <w:pPr>
        <w:spacing w:line="360" w:lineRule="auto"/>
        <w:rPr>
          <w:rFonts w:ascii="华文楷体" w:hAnsi="华文楷体" w:eastAsia="华文楷体" w:cs="华文楷体"/>
          <w:sz w:val="24"/>
        </w:rPr>
      </w:pPr>
      <w:r>
        <w:rPr>
          <w:rFonts w:hint="eastAsia" w:ascii="华文楷体" w:hAnsi="华文楷体" w:eastAsia="华文楷体" w:cs="华文楷体"/>
          <w:sz w:val="24"/>
          <w:lang w:val="en-US" w:eastAsia="zh-CN"/>
        </w:rPr>
        <w:t>2.4.3</w:t>
      </w:r>
      <w:r>
        <w:rPr>
          <w:rFonts w:ascii="华文楷体" w:hAnsi="华文楷体" w:eastAsia="华文楷体" w:cs="华文楷体"/>
          <w:sz w:val="24"/>
        </w:rPr>
        <w:t>单价金额小数点或者百分比有明显错位的，以开标一览表的总价为准，并修改单价；</w:t>
      </w:r>
    </w:p>
    <w:p>
      <w:pPr>
        <w:spacing w:line="360" w:lineRule="auto"/>
        <w:rPr>
          <w:rFonts w:ascii="华文楷体" w:hAnsi="华文楷体" w:eastAsia="华文楷体" w:cs="华文楷体"/>
          <w:sz w:val="24"/>
        </w:rPr>
      </w:pPr>
      <w:r>
        <w:rPr>
          <w:rFonts w:hint="eastAsia" w:ascii="华文楷体" w:hAnsi="华文楷体" w:eastAsia="华文楷体" w:cs="华文楷体"/>
          <w:sz w:val="24"/>
          <w:lang w:val="en-US" w:eastAsia="zh-CN"/>
        </w:rPr>
        <w:t>2.4.4</w:t>
      </w:r>
      <w:r>
        <w:rPr>
          <w:rFonts w:ascii="华文楷体" w:hAnsi="华文楷体" w:eastAsia="华文楷体" w:cs="华文楷体"/>
          <w:sz w:val="24"/>
        </w:rPr>
        <w:t>总价金额与按单价汇总金额不一致的，以单价金额计算结果为准。</w:t>
      </w:r>
      <w:r>
        <w:rPr>
          <w:rFonts w:ascii="华文楷体" w:hAnsi="华文楷体" w:eastAsia="华文楷体" w:cs="华文楷体"/>
          <w:b/>
          <w:bCs/>
          <w:sz w:val="24"/>
        </w:rPr>
        <w:t>所有计算结果均保留小数点后两位</w:t>
      </w:r>
      <w:r>
        <w:rPr>
          <w:rFonts w:ascii="华文楷体" w:hAnsi="华文楷体" w:eastAsia="华文楷体" w:cs="华文楷体"/>
          <w:sz w:val="24"/>
        </w:rPr>
        <w:t>，小数点后第三位“四舍五入”。</w:t>
      </w:r>
    </w:p>
    <w:p>
      <w:pPr>
        <w:spacing w:line="360" w:lineRule="auto"/>
        <w:rPr>
          <w:rFonts w:ascii="华文楷体" w:hAnsi="华文楷体" w:eastAsia="华文楷体" w:cs="华文楷体"/>
          <w:sz w:val="24"/>
        </w:rPr>
      </w:pPr>
      <w:r>
        <w:rPr>
          <w:rFonts w:ascii="华文楷体" w:hAnsi="华文楷体" w:eastAsia="华文楷体" w:cs="华文楷体"/>
          <w:sz w:val="24"/>
        </w:rPr>
        <w:t>★2.</w:t>
      </w:r>
      <w:r>
        <w:rPr>
          <w:rFonts w:hint="eastAsia" w:ascii="华文楷体" w:hAnsi="华文楷体" w:eastAsia="华文楷体" w:cs="华文楷体"/>
          <w:sz w:val="24"/>
        </w:rPr>
        <w:t>5</w:t>
      </w:r>
      <w:r>
        <w:rPr>
          <w:rFonts w:hint="eastAsia" w:ascii="华文楷体" w:hAnsi="华文楷体" w:eastAsia="华文楷体" w:cs="华文楷体"/>
          <w:sz w:val="24"/>
          <w:lang w:eastAsia="zh-CN"/>
        </w:rPr>
        <w:t>评审小组</w:t>
      </w:r>
      <w:r>
        <w:rPr>
          <w:rFonts w:ascii="华文楷体" w:hAnsi="华文楷体" w:eastAsia="华文楷体" w:cs="华文楷体"/>
          <w:sz w:val="24"/>
        </w:rPr>
        <w:t>认为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响应人</w:t>
      </w:r>
      <w:r>
        <w:rPr>
          <w:rFonts w:ascii="华文楷体" w:hAnsi="华文楷体" w:eastAsia="华文楷体" w:cs="华文楷体"/>
          <w:sz w:val="24"/>
        </w:rPr>
        <w:t>的报价明显低于其他通过符合性审查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响应人</w:t>
      </w:r>
      <w:r>
        <w:rPr>
          <w:rFonts w:ascii="华文楷体" w:hAnsi="华文楷体" w:eastAsia="华文楷体" w:cs="华文楷体"/>
          <w:sz w:val="24"/>
        </w:rPr>
        <w:t>的报价，有可能影响产品质量或者不能诚信履约的，应当要求其在</w:t>
      </w:r>
      <w:r>
        <w:rPr>
          <w:rFonts w:hint="eastAsia" w:ascii="华文楷体" w:hAnsi="华文楷体" w:eastAsia="华文楷体" w:cs="华文楷体"/>
          <w:sz w:val="24"/>
          <w:lang w:eastAsia="zh-CN"/>
        </w:rPr>
        <w:t>评审</w:t>
      </w:r>
      <w:r>
        <w:rPr>
          <w:rFonts w:ascii="华文楷体" w:hAnsi="华文楷体" w:eastAsia="华文楷体" w:cs="华文楷体"/>
          <w:sz w:val="24"/>
        </w:rPr>
        <w:t>现场合理的时间内提供书面说明，必要时提交相关证明材料；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响应人</w:t>
      </w:r>
      <w:r>
        <w:rPr>
          <w:rFonts w:ascii="华文楷体" w:hAnsi="华文楷体" w:eastAsia="华文楷体" w:cs="华文楷体"/>
          <w:sz w:val="24"/>
        </w:rPr>
        <w:t>不能证明其报价合理性的，</w:t>
      </w:r>
      <w:r>
        <w:rPr>
          <w:rFonts w:hint="eastAsia" w:ascii="华文楷体" w:hAnsi="华文楷体" w:eastAsia="华文楷体" w:cs="华文楷体"/>
          <w:sz w:val="24"/>
          <w:lang w:eastAsia="zh-CN"/>
        </w:rPr>
        <w:t>评审小组</w:t>
      </w:r>
      <w:r>
        <w:rPr>
          <w:rFonts w:ascii="华文楷体" w:hAnsi="华文楷体" w:eastAsia="华文楷体" w:cs="华文楷体"/>
          <w:sz w:val="24"/>
        </w:rPr>
        <w:t>应当将其作为无效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</w:t>
      </w:r>
      <w:r>
        <w:rPr>
          <w:rFonts w:ascii="华文楷体" w:hAnsi="华文楷体" w:eastAsia="华文楷体" w:cs="华文楷体"/>
          <w:sz w:val="24"/>
        </w:rPr>
        <w:t>处理。</w:t>
      </w:r>
    </w:p>
    <w:p>
      <w:pPr>
        <w:pStyle w:val="3"/>
        <w:outlineLvl w:val="1"/>
        <w:rPr>
          <w:rFonts w:ascii="华文楷体" w:hAnsi="华文楷体" w:eastAsia="华文楷体" w:cs="华文楷体"/>
          <w:sz w:val="24"/>
        </w:rPr>
      </w:pPr>
      <w:bookmarkStart w:id="6" w:name="_Toc25186"/>
      <w:bookmarkStart w:id="7" w:name="_Toc1631"/>
      <w:r>
        <w:rPr>
          <w:rFonts w:hint="eastAsia" w:ascii="华文楷体" w:hAnsi="华文楷体" w:eastAsia="华文楷体" w:cs="华文楷体"/>
          <w:sz w:val="24"/>
        </w:rPr>
        <w:t>三、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</w:t>
      </w:r>
      <w:r>
        <w:rPr>
          <w:rFonts w:ascii="华文楷体" w:hAnsi="华文楷体" w:eastAsia="华文楷体" w:cs="华文楷体"/>
          <w:sz w:val="24"/>
        </w:rPr>
        <w:t>文件的澄清</w:t>
      </w:r>
      <w:bookmarkEnd w:id="6"/>
      <w:bookmarkEnd w:id="7"/>
    </w:p>
    <w:p>
      <w:pPr>
        <w:spacing w:line="360" w:lineRule="auto"/>
        <w:rPr>
          <w:rFonts w:ascii="华文楷体" w:hAnsi="华文楷体" w:eastAsia="华文楷体" w:cs="华文楷体"/>
          <w:sz w:val="24"/>
        </w:rPr>
      </w:pPr>
      <w:r>
        <w:rPr>
          <w:rFonts w:ascii="华文楷体" w:hAnsi="华文楷体" w:eastAsia="华文楷体" w:cs="华文楷体"/>
          <w:sz w:val="24"/>
        </w:rPr>
        <w:t>1在</w:t>
      </w:r>
      <w:r>
        <w:rPr>
          <w:rFonts w:hint="eastAsia" w:ascii="华文楷体" w:hAnsi="华文楷体" w:eastAsia="华文楷体" w:cs="华文楷体"/>
          <w:sz w:val="24"/>
          <w:lang w:eastAsia="zh-CN"/>
        </w:rPr>
        <w:t>评审</w:t>
      </w:r>
      <w:r>
        <w:rPr>
          <w:rFonts w:ascii="华文楷体" w:hAnsi="华文楷体" w:eastAsia="华文楷体" w:cs="华文楷体"/>
          <w:sz w:val="24"/>
        </w:rPr>
        <w:t>过程中，</w:t>
      </w:r>
      <w:r>
        <w:rPr>
          <w:rFonts w:hint="eastAsia" w:ascii="华文楷体" w:hAnsi="华文楷体" w:eastAsia="华文楷体" w:cs="华文楷体"/>
          <w:sz w:val="24"/>
          <w:lang w:eastAsia="zh-CN"/>
        </w:rPr>
        <w:t>评审小组</w:t>
      </w:r>
      <w:r>
        <w:rPr>
          <w:rFonts w:ascii="华文楷体" w:hAnsi="华文楷体" w:eastAsia="华文楷体" w:cs="华文楷体"/>
          <w:sz w:val="24"/>
        </w:rPr>
        <w:t>可以书面形式要求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响应人</w:t>
      </w:r>
      <w:r>
        <w:rPr>
          <w:rFonts w:ascii="华文楷体" w:hAnsi="华文楷体" w:eastAsia="华文楷体" w:cs="华文楷体"/>
          <w:sz w:val="24"/>
        </w:rPr>
        <w:t>对所提交的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</w:t>
      </w:r>
      <w:r>
        <w:rPr>
          <w:rFonts w:ascii="华文楷体" w:hAnsi="华文楷体" w:eastAsia="华文楷体" w:cs="华文楷体"/>
          <w:sz w:val="24"/>
        </w:rPr>
        <w:t>文件中含义不明确、同类问题表述不一致或者有明显文字和计算错误的内容，进行书面澄清或说明。</w:t>
      </w:r>
      <w:r>
        <w:rPr>
          <w:rFonts w:hint="eastAsia" w:ascii="华文楷体" w:hAnsi="华文楷体" w:eastAsia="华文楷体" w:cs="华文楷体"/>
          <w:sz w:val="24"/>
          <w:lang w:eastAsia="zh-CN"/>
        </w:rPr>
        <w:t>评审小组</w:t>
      </w:r>
      <w:r>
        <w:rPr>
          <w:rFonts w:ascii="华文楷体" w:hAnsi="华文楷体" w:eastAsia="华文楷体" w:cs="华文楷体"/>
          <w:sz w:val="24"/>
        </w:rPr>
        <w:t>不接受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响应人</w:t>
      </w:r>
      <w:r>
        <w:rPr>
          <w:rFonts w:ascii="华文楷体" w:hAnsi="华文楷体" w:eastAsia="华文楷体" w:cs="华文楷体"/>
          <w:sz w:val="24"/>
        </w:rPr>
        <w:t>主动提出的澄清、说明。</w:t>
      </w:r>
    </w:p>
    <w:p>
      <w:pPr>
        <w:spacing w:line="360" w:lineRule="auto"/>
        <w:rPr>
          <w:rFonts w:ascii="华文楷体" w:hAnsi="华文楷体" w:eastAsia="华文楷体" w:cs="华文楷体"/>
          <w:sz w:val="24"/>
        </w:rPr>
      </w:pPr>
      <w:r>
        <w:rPr>
          <w:rFonts w:ascii="华文楷体" w:hAnsi="华文楷体" w:eastAsia="华文楷体" w:cs="华文楷体"/>
          <w:sz w:val="24"/>
        </w:rPr>
        <w:t>2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响应人</w:t>
      </w:r>
      <w:r>
        <w:rPr>
          <w:rFonts w:ascii="华文楷体" w:hAnsi="华文楷体" w:eastAsia="华文楷体" w:cs="华文楷体"/>
          <w:sz w:val="24"/>
        </w:rPr>
        <w:t>的澄清、说明应当采用书面形式，由法定代表人或其授权的代表签字，澄清事项不得超出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</w:t>
      </w:r>
      <w:r>
        <w:rPr>
          <w:rFonts w:ascii="华文楷体" w:hAnsi="华文楷体" w:eastAsia="华文楷体" w:cs="华文楷体"/>
          <w:sz w:val="24"/>
        </w:rPr>
        <w:t>文件的范围并不得改变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</w:t>
      </w:r>
      <w:r>
        <w:rPr>
          <w:rFonts w:ascii="华文楷体" w:hAnsi="华文楷体" w:eastAsia="华文楷体" w:cs="华文楷体"/>
          <w:sz w:val="24"/>
        </w:rPr>
        <w:t>文件的实质性内容（算术性错误修正的除外）。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响应人</w:t>
      </w:r>
      <w:r>
        <w:rPr>
          <w:rFonts w:ascii="华文楷体" w:hAnsi="华文楷体" w:eastAsia="华文楷体" w:cs="华文楷体"/>
          <w:sz w:val="24"/>
        </w:rPr>
        <w:t>的书面澄清、说明属于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</w:t>
      </w:r>
      <w:r>
        <w:rPr>
          <w:rFonts w:ascii="华文楷体" w:hAnsi="华文楷体" w:eastAsia="华文楷体" w:cs="华文楷体"/>
          <w:sz w:val="24"/>
        </w:rPr>
        <w:t>文件的组成部分。</w:t>
      </w:r>
    </w:p>
    <w:p>
      <w:pPr>
        <w:spacing w:line="360" w:lineRule="auto"/>
        <w:rPr>
          <w:rFonts w:ascii="华文楷体" w:hAnsi="华文楷体" w:eastAsia="华文楷体" w:cs="华文楷体"/>
          <w:sz w:val="24"/>
        </w:rPr>
      </w:pPr>
      <w:r>
        <w:rPr>
          <w:rFonts w:ascii="华文楷体" w:hAnsi="华文楷体" w:eastAsia="华文楷体" w:cs="华文楷体"/>
          <w:sz w:val="24"/>
        </w:rPr>
        <w:t>3</w:t>
      </w:r>
      <w:r>
        <w:rPr>
          <w:rFonts w:hint="eastAsia" w:ascii="华文楷体" w:hAnsi="华文楷体" w:eastAsia="华文楷体" w:cs="华文楷体"/>
          <w:sz w:val="24"/>
          <w:lang w:eastAsia="zh-CN"/>
        </w:rPr>
        <w:t>评审小组</w:t>
      </w:r>
      <w:r>
        <w:rPr>
          <w:rFonts w:ascii="华文楷体" w:hAnsi="华文楷体" w:eastAsia="华文楷体" w:cs="华文楷体"/>
          <w:sz w:val="24"/>
        </w:rPr>
        <w:t>对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响应人</w:t>
      </w:r>
      <w:r>
        <w:rPr>
          <w:rFonts w:ascii="华文楷体" w:hAnsi="华文楷体" w:eastAsia="华文楷体" w:cs="华文楷体"/>
          <w:sz w:val="24"/>
        </w:rPr>
        <w:t>提交的澄清、说明有疑问的，可以要求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响应人</w:t>
      </w:r>
      <w:r>
        <w:rPr>
          <w:rFonts w:ascii="华文楷体" w:hAnsi="华文楷体" w:eastAsia="华文楷体" w:cs="华文楷体"/>
          <w:sz w:val="24"/>
        </w:rPr>
        <w:t>进一步澄清、说明。</w:t>
      </w:r>
    </w:p>
    <w:p>
      <w:pPr>
        <w:pStyle w:val="3"/>
        <w:outlineLvl w:val="1"/>
        <w:rPr>
          <w:rFonts w:ascii="华文楷体" w:hAnsi="华文楷体" w:eastAsia="华文楷体" w:cs="华文楷体"/>
          <w:sz w:val="24"/>
        </w:rPr>
      </w:pPr>
      <w:bookmarkStart w:id="8" w:name="_Toc28117"/>
      <w:bookmarkStart w:id="9" w:name="_Toc14055"/>
      <w:r>
        <w:rPr>
          <w:rFonts w:hint="eastAsia" w:ascii="华文楷体" w:hAnsi="华文楷体" w:eastAsia="华文楷体" w:cs="华文楷体"/>
          <w:sz w:val="24"/>
        </w:rPr>
        <w:t>四、</w:t>
      </w:r>
      <w:r>
        <w:rPr>
          <w:rFonts w:hint="eastAsia" w:ascii="华文楷体" w:hAnsi="华文楷体" w:eastAsia="华文楷体" w:cs="华文楷体"/>
          <w:sz w:val="24"/>
          <w:lang w:eastAsia="zh-CN"/>
        </w:rPr>
        <w:t>评审</w:t>
      </w:r>
      <w:r>
        <w:rPr>
          <w:rFonts w:ascii="华文楷体" w:hAnsi="华文楷体" w:eastAsia="华文楷体" w:cs="华文楷体"/>
          <w:sz w:val="24"/>
        </w:rPr>
        <w:t>结果</w:t>
      </w:r>
      <w:bookmarkEnd w:id="8"/>
      <w:bookmarkEnd w:id="9"/>
    </w:p>
    <w:p>
      <w:pPr>
        <w:spacing w:line="360" w:lineRule="auto"/>
        <w:rPr>
          <w:rFonts w:hint="eastAsia" w:ascii="华文楷体" w:hAnsi="华文楷体" w:eastAsia="华文楷体" w:cs="华文楷体"/>
          <w:sz w:val="24"/>
          <w:lang w:eastAsia="zh-CN"/>
        </w:rPr>
      </w:pPr>
      <w:bookmarkStart w:id="10" w:name="_GoBack"/>
      <w:r>
        <w:rPr>
          <w:rFonts w:hint="eastAsia" w:ascii="华文楷体" w:hAnsi="华文楷体" w:eastAsia="华文楷体" w:cs="华文楷体"/>
          <w:sz w:val="24"/>
          <w:lang w:eastAsia="zh-CN"/>
        </w:rPr>
        <w:t>评审小组</w:t>
      </w:r>
      <w:r>
        <w:rPr>
          <w:rFonts w:hint="eastAsia" w:ascii="华文楷体" w:hAnsi="华文楷体" w:eastAsia="华文楷体" w:cs="华文楷体"/>
          <w:b w:val="0"/>
          <w:bCs w:val="0"/>
          <w:sz w:val="24"/>
        </w:rPr>
        <w:t>按</w:t>
      </w:r>
      <w:r>
        <w:rPr>
          <w:rFonts w:hint="eastAsia" w:ascii="华文楷体" w:hAnsi="华文楷体" w:eastAsia="华文楷体" w:cs="华文楷体"/>
          <w:b w:val="0"/>
          <w:bCs w:val="0"/>
          <w:sz w:val="24"/>
          <w:lang w:val="en-US" w:eastAsia="zh-CN"/>
        </w:rPr>
        <w:t>项目编号逐一评审，按</w:t>
      </w:r>
      <w:r>
        <w:rPr>
          <w:rFonts w:hint="eastAsia" w:ascii="华文楷体" w:hAnsi="华文楷体" w:eastAsia="华文楷体" w:cs="华文楷体"/>
          <w:b w:val="0"/>
          <w:bCs w:val="0"/>
          <w:sz w:val="24"/>
        </w:rPr>
        <w:t>总得分由高到低的顺序推荐</w:t>
      </w:r>
      <w:r>
        <w:rPr>
          <w:rFonts w:hint="eastAsia" w:ascii="华文楷体" w:hAnsi="华文楷体" w:eastAsia="华文楷体" w:cs="华文楷体"/>
          <w:b w:val="0"/>
          <w:bCs w:val="0"/>
          <w:sz w:val="24"/>
          <w:lang w:val="en-US" w:eastAsia="zh-CN"/>
        </w:rPr>
        <w:t>中标候选人</w:t>
      </w:r>
      <w:r>
        <w:rPr>
          <w:rFonts w:hint="eastAsia" w:ascii="华文楷体" w:hAnsi="华文楷体" w:eastAsia="华文楷体" w:cs="华文楷体"/>
          <w:b w:val="0"/>
          <w:bCs w:val="0"/>
          <w:sz w:val="24"/>
        </w:rPr>
        <w:t>。</w:t>
      </w:r>
      <w:bookmarkEnd w:id="10"/>
      <w:r>
        <w:rPr>
          <w:rFonts w:hint="eastAsia" w:ascii="华文楷体" w:hAnsi="华文楷体" w:eastAsia="华文楷体" w:cs="华文楷体"/>
          <w:b w:val="0"/>
          <w:bCs w:val="0"/>
          <w:sz w:val="24"/>
        </w:rPr>
        <w:t>得分相同的，按响应报价由低到高顺序排序</w:t>
      </w:r>
      <w:r>
        <w:rPr>
          <w:rFonts w:hint="eastAsia" w:ascii="华文楷体" w:hAnsi="华文楷体" w:eastAsia="华文楷体" w:cs="华文楷体"/>
          <w:b w:val="0"/>
          <w:bCs w:val="0"/>
          <w:sz w:val="24"/>
          <w:lang w:eastAsia="zh-CN"/>
        </w:rPr>
        <w:t>，</w:t>
      </w:r>
      <w:r>
        <w:rPr>
          <w:rFonts w:hint="eastAsia" w:ascii="华文楷体" w:hAnsi="华文楷体" w:eastAsia="华文楷体" w:cs="华文楷体"/>
          <w:b w:val="0"/>
          <w:bCs w:val="0"/>
          <w:sz w:val="24"/>
        </w:rPr>
        <w:t>得分且响应报价</w:t>
      </w:r>
      <w:r>
        <w:rPr>
          <w:rFonts w:hint="eastAsia" w:ascii="华文楷体" w:hAnsi="华文楷体" w:eastAsia="华文楷体" w:cs="华文楷体"/>
          <w:b w:val="0"/>
          <w:bCs w:val="0"/>
          <w:sz w:val="24"/>
          <w:lang w:val="en-US" w:eastAsia="zh-CN"/>
        </w:rPr>
        <w:t>相同的按技术部分得分排序，如再相同由评审小组讨论决定排序</w:t>
      </w:r>
      <w:r>
        <w:rPr>
          <w:rFonts w:hint="eastAsia" w:ascii="华文楷体" w:hAnsi="华文楷体" w:eastAsia="华文楷体" w:cs="华文楷体"/>
          <w:b w:val="0"/>
          <w:bCs w:val="0"/>
          <w:sz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3F13F48D-C9E4-4D3F-B0C8-AA7644D2FEEE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F09A2C19-DFE0-47E4-B443-15F6794283A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xZTUxMzg3NmY5ZjYyZjAyOGJkZjg5ZDVkMzc0YmYifQ=="/>
  </w:docVars>
  <w:rsids>
    <w:rsidRoot w:val="68ED23A1"/>
    <w:rsid w:val="00183996"/>
    <w:rsid w:val="004D72FC"/>
    <w:rsid w:val="006C5A58"/>
    <w:rsid w:val="00EA7AED"/>
    <w:rsid w:val="01696297"/>
    <w:rsid w:val="018C6DB8"/>
    <w:rsid w:val="03AC1080"/>
    <w:rsid w:val="047D014D"/>
    <w:rsid w:val="05063A65"/>
    <w:rsid w:val="057515BA"/>
    <w:rsid w:val="05CB2422"/>
    <w:rsid w:val="06226BEE"/>
    <w:rsid w:val="068F4112"/>
    <w:rsid w:val="09042ECC"/>
    <w:rsid w:val="09075307"/>
    <w:rsid w:val="0932531A"/>
    <w:rsid w:val="09CE2DA4"/>
    <w:rsid w:val="0AB954AA"/>
    <w:rsid w:val="0ADA598E"/>
    <w:rsid w:val="0C1338DB"/>
    <w:rsid w:val="0C612D6C"/>
    <w:rsid w:val="0D734E63"/>
    <w:rsid w:val="0E643415"/>
    <w:rsid w:val="0E855FC4"/>
    <w:rsid w:val="0EC67DB4"/>
    <w:rsid w:val="0F9D4B12"/>
    <w:rsid w:val="0F9E7AAB"/>
    <w:rsid w:val="0FA5199F"/>
    <w:rsid w:val="11B11D83"/>
    <w:rsid w:val="12BE1D47"/>
    <w:rsid w:val="12D83014"/>
    <w:rsid w:val="13697223"/>
    <w:rsid w:val="13AC2993"/>
    <w:rsid w:val="13DE46BF"/>
    <w:rsid w:val="14365D9D"/>
    <w:rsid w:val="144F2FB5"/>
    <w:rsid w:val="145372F0"/>
    <w:rsid w:val="15521AAE"/>
    <w:rsid w:val="15EA738E"/>
    <w:rsid w:val="16401C78"/>
    <w:rsid w:val="16591E84"/>
    <w:rsid w:val="174E378A"/>
    <w:rsid w:val="17621B1C"/>
    <w:rsid w:val="17990AC3"/>
    <w:rsid w:val="185B4CFD"/>
    <w:rsid w:val="19C0586F"/>
    <w:rsid w:val="19D74CFB"/>
    <w:rsid w:val="1ABE0B46"/>
    <w:rsid w:val="1AEB4C02"/>
    <w:rsid w:val="1AEE6F4C"/>
    <w:rsid w:val="1C89648F"/>
    <w:rsid w:val="1CC81301"/>
    <w:rsid w:val="1CD12633"/>
    <w:rsid w:val="1DAC0F64"/>
    <w:rsid w:val="1DB41365"/>
    <w:rsid w:val="1E7F64EB"/>
    <w:rsid w:val="1ED25815"/>
    <w:rsid w:val="1F45015A"/>
    <w:rsid w:val="20107B43"/>
    <w:rsid w:val="203C0637"/>
    <w:rsid w:val="20DB3EAF"/>
    <w:rsid w:val="2159170D"/>
    <w:rsid w:val="21640853"/>
    <w:rsid w:val="221B7BEB"/>
    <w:rsid w:val="2252000B"/>
    <w:rsid w:val="23E11C32"/>
    <w:rsid w:val="23E5533A"/>
    <w:rsid w:val="24073473"/>
    <w:rsid w:val="24A24397"/>
    <w:rsid w:val="24F06C89"/>
    <w:rsid w:val="25ED45CC"/>
    <w:rsid w:val="270E7C35"/>
    <w:rsid w:val="280963E2"/>
    <w:rsid w:val="284B6511"/>
    <w:rsid w:val="295A7282"/>
    <w:rsid w:val="29DB6845"/>
    <w:rsid w:val="2A1F4715"/>
    <w:rsid w:val="2A4B1276"/>
    <w:rsid w:val="2A601E62"/>
    <w:rsid w:val="2ADE7ED4"/>
    <w:rsid w:val="2AE714EE"/>
    <w:rsid w:val="2AF20BB1"/>
    <w:rsid w:val="2B02159F"/>
    <w:rsid w:val="2C0B4C88"/>
    <w:rsid w:val="2C57499B"/>
    <w:rsid w:val="2DDC1283"/>
    <w:rsid w:val="2E335F99"/>
    <w:rsid w:val="2F7A4730"/>
    <w:rsid w:val="30F02BCA"/>
    <w:rsid w:val="31261223"/>
    <w:rsid w:val="315E1496"/>
    <w:rsid w:val="31871B4D"/>
    <w:rsid w:val="31AF140A"/>
    <w:rsid w:val="31D06B2D"/>
    <w:rsid w:val="31ED5FEB"/>
    <w:rsid w:val="32110677"/>
    <w:rsid w:val="32291EC6"/>
    <w:rsid w:val="323B3CAF"/>
    <w:rsid w:val="3257620E"/>
    <w:rsid w:val="32691E1B"/>
    <w:rsid w:val="327B0B4B"/>
    <w:rsid w:val="32DF0A54"/>
    <w:rsid w:val="338225B9"/>
    <w:rsid w:val="344528F5"/>
    <w:rsid w:val="35191A11"/>
    <w:rsid w:val="35211D9B"/>
    <w:rsid w:val="36126D84"/>
    <w:rsid w:val="371500A9"/>
    <w:rsid w:val="381F418F"/>
    <w:rsid w:val="38E72CA7"/>
    <w:rsid w:val="39DE67D4"/>
    <w:rsid w:val="3A994B5D"/>
    <w:rsid w:val="3B1251B1"/>
    <w:rsid w:val="3B1F7166"/>
    <w:rsid w:val="3B7B3872"/>
    <w:rsid w:val="3C2E63D0"/>
    <w:rsid w:val="3C577B69"/>
    <w:rsid w:val="3C8E29D2"/>
    <w:rsid w:val="3C9A663B"/>
    <w:rsid w:val="3D5974B2"/>
    <w:rsid w:val="3E461AAC"/>
    <w:rsid w:val="3EB23D9E"/>
    <w:rsid w:val="3EFD2017"/>
    <w:rsid w:val="41125031"/>
    <w:rsid w:val="41634E9A"/>
    <w:rsid w:val="41AD2574"/>
    <w:rsid w:val="41F64EA7"/>
    <w:rsid w:val="429C4E23"/>
    <w:rsid w:val="42B66655"/>
    <w:rsid w:val="43807971"/>
    <w:rsid w:val="44B925B3"/>
    <w:rsid w:val="44BE0132"/>
    <w:rsid w:val="44EB30FF"/>
    <w:rsid w:val="451352A6"/>
    <w:rsid w:val="457041C4"/>
    <w:rsid w:val="45E95171"/>
    <w:rsid w:val="46423675"/>
    <w:rsid w:val="47220EF6"/>
    <w:rsid w:val="4852651A"/>
    <w:rsid w:val="491606A8"/>
    <w:rsid w:val="492B27BE"/>
    <w:rsid w:val="49522850"/>
    <w:rsid w:val="4BA47EEA"/>
    <w:rsid w:val="4BBB0C9C"/>
    <w:rsid w:val="4C475CD3"/>
    <w:rsid w:val="4C745061"/>
    <w:rsid w:val="4E056412"/>
    <w:rsid w:val="4E7628FD"/>
    <w:rsid w:val="4F211887"/>
    <w:rsid w:val="4F8D18F2"/>
    <w:rsid w:val="4FEF2F8E"/>
    <w:rsid w:val="500B3C3D"/>
    <w:rsid w:val="502D1488"/>
    <w:rsid w:val="50AD62CB"/>
    <w:rsid w:val="52330126"/>
    <w:rsid w:val="528D7BAD"/>
    <w:rsid w:val="52E552F2"/>
    <w:rsid w:val="53563EF3"/>
    <w:rsid w:val="54564534"/>
    <w:rsid w:val="54E62EC5"/>
    <w:rsid w:val="5509232A"/>
    <w:rsid w:val="55900EFA"/>
    <w:rsid w:val="56A42CC7"/>
    <w:rsid w:val="579348A0"/>
    <w:rsid w:val="58641B21"/>
    <w:rsid w:val="589241B7"/>
    <w:rsid w:val="59861A37"/>
    <w:rsid w:val="59DE232E"/>
    <w:rsid w:val="5AB407E7"/>
    <w:rsid w:val="5AEC3313"/>
    <w:rsid w:val="5B0C6EC7"/>
    <w:rsid w:val="5B702433"/>
    <w:rsid w:val="5BCF61C0"/>
    <w:rsid w:val="5D2D6307"/>
    <w:rsid w:val="5D45372C"/>
    <w:rsid w:val="5D956ADA"/>
    <w:rsid w:val="5DEF5207"/>
    <w:rsid w:val="5DFA58AF"/>
    <w:rsid w:val="5E286656"/>
    <w:rsid w:val="5E797935"/>
    <w:rsid w:val="5EAE3D6B"/>
    <w:rsid w:val="5F2A6567"/>
    <w:rsid w:val="5F833E6F"/>
    <w:rsid w:val="5FAE3A14"/>
    <w:rsid w:val="600A22E9"/>
    <w:rsid w:val="61DD16C6"/>
    <w:rsid w:val="62BC5BC6"/>
    <w:rsid w:val="632E6AB0"/>
    <w:rsid w:val="63464119"/>
    <w:rsid w:val="6379145E"/>
    <w:rsid w:val="64EA46E6"/>
    <w:rsid w:val="65C62CCC"/>
    <w:rsid w:val="65DE429C"/>
    <w:rsid w:val="65F37423"/>
    <w:rsid w:val="660C7F1F"/>
    <w:rsid w:val="67710F5B"/>
    <w:rsid w:val="67D53C16"/>
    <w:rsid w:val="681761A6"/>
    <w:rsid w:val="688370C4"/>
    <w:rsid w:val="68C71A5D"/>
    <w:rsid w:val="68ED23A1"/>
    <w:rsid w:val="698B7E77"/>
    <w:rsid w:val="69A513E9"/>
    <w:rsid w:val="6B1E145A"/>
    <w:rsid w:val="6B4E599E"/>
    <w:rsid w:val="6C6C62C2"/>
    <w:rsid w:val="6C7203A3"/>
    <w:rsid w:val="6CDC45D7"/>
    <w:rsid w:val="6CE81170"/>
    <w:rsid w:val="6CEF4F0F"/>
    <w:rsid w:val="6D773236"/>
    <w:rsid w:val="6D9504A1"/>
    <w:rsid w:val="6FD47300"/>
    <w:rsid w:val="7006779F"/>
    <w:rsid w:val="709629D8"/>
    <w:rsid w:val="70AA7461"/>
    <w:rsid w:val="70F62E47"/>
    <w:rsid w:val="71D359E0"/>
    <w:rsid w:val="72862412"/>
    <w:rsid w:val="7334527D"/>
    <w:rsid w:val="73A537A6"/>
    <w:rsid w:val="74165DE6"/>
    <w:rsid w:val="74172592"/>
    <w:rsid w:val="74181AC7"/>
    <w:rsid w:val="754B3E84"/>
    <w:rsid w:val="761A0506"/>
    <w:rsid w:val="778E76C8"/>
    <w:rsid w:val="78C66E6E"/>
    <w:rsid w:val="78E42BC9"/>
    <w:rsid w:val="79100D42"/>
    <w:rsid w:val="79FD69F6"/>
    <w:rsid w:val="7C4D1419"/>
    <w:rsid w:val="7EFE5E90"/>
    <w:rsid w:val="7F9E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qFormat/>
    <w:uiPriority w:val="0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zh-CN" w:eastAsia="zh-CN" w:bidi="ar-SA"/>
    </w:rPr>
  </w:style>
  <w:style w:type="paragraph" w:styleId="5">
    <w:name w:val="toc 3"/>
    <w:basedOn w:val="1"/>
    <w:next w:val="1"/>
    <w:qFormat/>
    <w:uiPriority w:val="0"/>
    <w:pPr>
      <w:ind w:left="840" w:leftChars="400"/>
    </w:pPr>
  </w:style>
  <w:style w:type="paragraph" w:styleId="6">
    <w:name w:val="Plain Text"/>
    <w:qFormat/>
    <w:uiPriority w:val="0"/>
    <w:pPr>
      <w:widowControl w:val="0"/>
      <w:jc w:val="both"/>
    </w:pPr>
    <w:rPr>
      <w:rFonts w:ascii="宋体" w:hAnsi="Calibri" w:eastAsia="宋体" w:cs="Times New Roman"/>
      <w:kern w:val="2"/>
      <w:sz w:val="21"/>
      <w:lang w:val="en-US" w:eastAsia="zh-CN" w:bidi="ar-SA"/>
    </w:rPr>
  </w:style>
  <w:style w:type="paragraph" w:styleId="7">
    <w:name w:val="toc 2"/>
    <w:basedOn w:val="1"/>
    <w:next w:val="1"/>
    <w:qFormat/>
    <w:uiPriority w:val="0"/>
    <w:pPr>
      <w:ind w:left="420" w:leftChars="200"/>
    </w:p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WPSOffice手动目录 2"/>
    <w:qFormat/>
    <w:uiPriority w:val="0"/>
    <w:pPr>
      <w:ind w:left="200" w:leftChars="200"/>
    </w:pPr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12">
    <w:name w:val="WPSOffice手动目录 3"/>
    <w:qFormat/>
    <w:uiPriority w:val="0"/>
    <w:pPr>
      <w:ind w:left="400" w:leftChars="400"/>
    </w:pPr>
    <w:rPr>
      <w:rFonts w:asciiTheme="minorHAnsi" w:hAnsiTheme="minorHAnsi" w:eastAsiaTheme="minorEastAsia" w:cstheme="minorBidi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5881</Words>
  <Characters>6202</Characters>
  <Lines>70</Lines>
  <Paragraphs>19</Paragraphs>
  <TotalTime>90</TotalTime>
  <ScaleCrop>false</ScaleCrop>
  <LinksUpToDate>false</LinksUpToDate>
  <CharactersWithSpaces>6359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2021-12-20T00:24:00Z</dcterms:created>
  <dc:creator>123</dc:creator>
  <cp:lastModifiedBy>Administrator</cp:lastModifiedBy>
  <cp:lastPrinted>2023-10-23T03:48:51Z</cp:lastPrinted>
  <dcterms:modified xsi:type="dcterms:W3CDTF">2023-10-23T03:59:00Z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1B69E3945E10427684646D490CABEF56</vt:lpwstr>
  </property>
</Properties>
</file>