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_Toc23379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_Toc23379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_Toc7231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_Toc7231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_Toc23406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_Toc23406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_Toc21242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_Toc21242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_Toc23609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_Toc23609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_Toc837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_Toc837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_Toc20082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_Toc20082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_Toc20970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_Toc20970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_Toc26297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_Toc26297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_Toc8215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_Toc8215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_Toc19528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_Toc19528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_Toc16324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_Toc16324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_Toc14936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_Toc14936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_Toc21492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_Toc21492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_Toc4548 </w:instrText>
          </w:r>
          <w:r>
            <w:fldChar w:fldCharType="separate"/>
          </w:r>
          <w:r>
            <w:rPr>
              <w:rFonts w:hint="eastAsia" w:ascii="华文楷体" w:hAnsi="华文楷体" w:eastAsia="华文楷体" w:cs="华文楷体"/>
              <w:szCs w:val="30"/>
              <w:lang w:val="en-US" w:eastAsia="zh-CN"/>
            </w:rPr>
            <w:t>十、备品备件及长期最优惠供货价格</w:t>
          </w:r>
          <w:r>
            <w:tab/>
          </w:r>
          <w:r>
            <w:fldChar w:fldCharType="begin"/>
          </w:r>
          <w:r>
            <w:instrText xml:space="preserve"> PAGEREF _Toc4548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_Toc1117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_Toc1117 \h </w:instrText>
          </w:r>
          <w:r>
            <w:fldChar w:fldCharType="separate"/>
          </w:r>
          <w:r>
            <w:t>17</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3379"/>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723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493600033"/>
      <w:bookmarkStart w:id="3" w:name="_Toc87445175"/>
      <w:bookmarkStart w:id="4" w:name="_Toc23406"/>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21242"/>
      <w:bookmarkStart w:id="6" w:name="_Toc87445176"/>
      <w:bookmarkStart w:id="7" w:name="_Toc493600035"/>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3609"/>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837"/>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（业绩需2022年至今参与项目供应商销售响应产品的合同复印件作为证明材料，格式自拟，加盖公章）</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0082"/>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20970"/>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6297"/>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8215"/>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19528"/>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16324"/>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493600038"/>
      <w:bookmarkStart w:id="18" w:name="_Toc87445179"/>
      <w:bookmarkStart w:id="19" w:name="_Toc14936"/>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21492"/>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21</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具有依法缴纳税收和社会保障资金的良好记录，提供2023年1月至今任意一个季度或年度依法缴纳企业所得税的凭据或提供2023年1月至今任意3个月依法缴纳增值税的凭据，并提供2023年1月至今任意3个月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，加盖公章</w:t>
      </w:r>
      <w:bookmarkStart w:id="25" w:name="_GoBack"/>
      <w:bookmarkEnd w:id="25"/>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4548"/>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117"/>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61D614D"/>
    <w:rsid w:val="0D393FC9"/>
    <w:rsid w:val="0D9A1496"/>
    <w:rsid w:val="0F1E4AAF"/>
    <w:rsid w:val="10762BDF"/>
    <w:rsid w:val="12B44329"/>
    <w:rsid w:val="144F2FB5"/>
    <w:rsid w:val="1513659E"/>
    <w:rsid w:val="188B28E3"/>
    <w:rsid w:val="1A5861A9"/>
    <w:rsid w:val="1B932335"/>
    <w:rsid w:val="1BDD3C44"/>
    <w:rsid w:val="1C292AE4"/>
    <w:rsid w:val="203232CB"/>
    <w:rsid w:val="22210E0A"/>
    <w:rsid w:val="244E37D6"/>
    <w:rsid w:val="26E2013A"/>
    <w:rsid w:val="281B1F07"/>
    <w:rsid w:val="2AA23D90"/>
    <w:rsid w:val="2AEB6BB7"/>
    <w:rsid w:val="2B63629F"/>
    <w:rsid w:val="2BC65440"/>
    <w:rsid w:val="2D4968BE"/>
    <w:rsid w:val="2F6E0835"/>
    <w:rsid w:val="31913455"/>
    <w:rsid w:val="321E478D"/>
    <w:rsid w:val="32425718"/>
    <w:rsid w:val="33C90985"/>
    <w:rsid w:val="345873FE"/>
    <w:rsid w:val="35C247F2"/>
    <w:rsid w:val="37565737"/>
    <w:rsid w:val="38766AAA"/>
    <w:rsid w:val="38F00C52"/>
    <w:rsid w:val="3B30289A"/>
    <w:rsid w:val="3C2F0E1D"/>
    <w:rsid w:val="3E896745"/>
    <w:rsid w:val="402A0309"/>
    <w:rsid w:val="41106504"/>
    <w:rsid w:val="422034E7"/>
    <w:rsid w:val="426F4017"/>
    <w:rsid w:val="438D13C5"/>
    <w:rsid w:val="44B66409"/>
    <w:rsid w:val="45680BAE"/>
    <w:rsid w:val="49203136"/>
    <w:rsid w:val="49FB2F07"/>
    <w:rsid w:val="4D735834"/>
    <w:rsid w:val="4DF84F0A"/>
    <w:rsid w:val="4E2E66ED"/>
    <w:rsid w:val="4EF14EB0"/>
    <w:rsid w:val="51807280"/>
    <w:rsid w:val="52B814BD"/>
    <w:rsid w:val="53962548"/>
    <w:rsid w:val="53AD61F7"/>
    <w:rsid w:val="560E24E2"/>
    <w:rsid w:val="59A94439"/>
    <w:rsid w:val="5AEE04A2"/>
    <w:rsid w:val="5C0D09C8"/>
    <w:rsid w:val="5D47454B"/>
    <w:rsid w:val="5F4E3341"/>
    <w:rsid w:val="607C7F1A"/>
    <w:rsid w:val="60F905B4"/>
    <w:rsid w:val="62DC4D1B"/>
    <w:rsid w:val="647E2B41"/>
    <w:rsid w:val="64D462AF"/>
    <w:rsid w:val="65216151"/>
    <w:rsid w:val="6589514F"/>
    <w:rsid w:val="67E763C9"/>
    <w:rsid w:val="691F21D5"/>
    <w:rsid w:val="69AE723D"/>
    <w:rsid w:val="6A0B073A"/>
    <w:rsid w:val="6B783ACA"/>
    <w:rsid w:val="6BE321F3"/>
    <w:rsid w:val="6E5770AB"/>
    <w:rsid w:val="6F6F593A"/>
    <w:rsid w:val="71615B93"/>
    <w:rsid w:val="739A6307"/>
    <w:rsid w:val="73FF59A6"/>
    <w:rsid w:val="74203FD3"/>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2024-02-28T06:54:06Z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