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ascii="华文楷体" w:hAnsi="华文楷体" w:eastAsia="华文楷体" w:cs="华文楷体"/>
          <w:sz w:val="44"/>
          <w:szCs w:val="44"/>
        </w:rPr>
      </w:pPr>
      <w:r>
        <w:rPr>
          <w:rFonts w:hint="eastAsia" w:ascii="华文楷体" w:hAnsi="华文楷体" w:eastAsia="华文楷体" w:cs="华文楷体"/>
          <w:sz w:val="44"/>
          <w:szCs w:val="44"/>
          <w:u w:val="single"/>
          <w:lang w:val="en-US" w:eastAsia="zh-CN"/>
        </w:rPr>
        <w:t>6号楼3层</w:t>
      </w:r>
      <w:bookmarkStart w:id="26" w:name="_GoBack"/>
      <w:bookmarkEnd w:id="26"/>
      <w:r>
        <w:rPr>
          <w:rFonts w:hint="eastAsia" w:ascii="华文楷体" w:hAnsi="华文楷体" w:eastAsia="华文楷体" w:cs="华文楷体"/>
          <w:sz w:val="44"/>
          <w:szCs w:val="44"/>
          <w:u w:val="single"/>
          <w:lang w:eastAsia="zh-CN"/>
        </w:rPr>
        <w:t>综合布线</w:t>
      </w:r>
      <w:r>
        <w:rPr>
          <w:rFonts w:hint="eastAsia" w:ascii="华文楷体" w:hAnsi="华文楷体" w:eastAsia="华文楷体" w:cs="华文楷体"/>
          <w:sz w:val="44"/>
          <w:szCs w:val="44"/>
        </w:rPr>
        <w:t>采购项目</w:t>
      </w: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jc w:val="center"/>
        <w:rPr>
          <w:rFonts w:ascii="华文楷体" w:hAnsi="华文楷体" w:eastAsia="华文楷体" w:cs="华文楷体"/>
          <w:sz w:val="44"/>
          <w:szCs w:val="44"/>
          <w:u w:val="single"/>
        </w:rPr>
      </w:pPr>
      <w:r>
        <w:rPr>
          <w:rFonts w:hint="eastAsia" w:ascii="华文楷体" w:hAnsi="华文楷体" w:eastAsia="华文楷体" w:cs="华文楷体"/>
          <w:sz w:val="44"/>
          <w:szCs w:val="44"/>
        </w:rPr>
        <w:t>招 标 文 件</w:t>
      </w: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rPr>
          <w:rFonts w:ascii="华文楷体" w:hAnsi="华文楷体" w:eastAsia="华文楷体" w:cs="华文楷体"/>
          <w:sz w:val="44"/>
          <w:szCs w:val="44"/>
        </w:rPr>
      </w:pPr>
    </w:p>
    <w:p>
      <w:pPr>
        <w:rPr>
          <w:rFonts w:ascii="华文楷体" w:hAnsi="华文楷体" w:eastAsia="华文楷体" w:cs="华文楷体"/>
          <w:sz w:val="44"/>
          <w:szCs w:val="44"/>
        </w:rPr>
      </w:pPr>
      <w:r>
        <w:rPr>
          <w:rFonts w:hint="eastAsia" w:ascii="华文楷体" w:hAnsi="华文楷体" w:eastAsia="华文楷体" w:cs="华文楷体"/>
          <w:sz w:val="44"/>
          <w:szCs w:val="44"/>
        </w:rPr>
        <w:t>采购人：昆明医科大学第二附属医院</w:t>
      </w:r>
    </w:p>
    <w:p>
      <w:pPr>
        <w:rPr>
          <w:rFonts w:ascii="华文楷体" w:hAnsi="华文楷体" w:eastAsia="华文楷体" w:cs="华文楷体"/>
          <w:sz w:val="44"/>
          <w:szCs w:val="44"/>
        </w:rPr>
      </w:pPr>
      <w:r>
        <w:rPr>
          <w:rFonts w:hint="eastAsia" w:ascii="华文楷体" w:hAnsi="华文楷体" w:eastAsia="华文楷体" w:cs="华文楷体"/>
          <w:sz w:val="44"/>
          <w:szCs w:val="44"/>
        </w:rPr>
        <w:t>二0二</w:t>
      </w:r>
      <w:r>
        <w:rPr>
          <w:rFonts w:hint="eastAsia" w:ascii="华文楷体" w:hAnsi="华文楷体" w:eastAsia="华文楷体" w:cs="华文楷体"/>
          <w:sz w:val="44"/>
          <w:szCs w:val="44"/>
          <w:lang w:val="en-US" w:eastAsia="zh-CN"/>
        </w:rPr>
        <w:t>四</w:t>
      </w:r>
      <w:r>
        <w:rPr>
          <w:rFonts w:hint="eastAsia" w:ascii="华文楷体" w:hAnsi="华文楷体" w:eastAsia="华文楷体" w:cs="华文楷体"/>
          <w:sz w:val="44"/>
          <w:szCs w:val="44"/>
        </w:rPr>
        <w:t>年</w:t>
      </w:r>
    </w:p>
    <w:p>
      <w:pPr>
        <w:rPr>
          <w:rFonts w:ascii="华文楷体" w:hAnsi="华文楷体" w:eastAsia="华文楷体" w:cs="华文楷体"/>
        </w:rPr>
      </w:pPr>
    </w:p>
    <w:p>
      <w:pPr>
        <w:rPr>
          <w:rFonts w:ascii="华文楷体" w:hAnsi="华文楷体" w:eastAsia="华文楷体" w:cs="华文楷体"/>
        </w:rPr>
        <w:sectPr>
          <w:pgSz w:w="11906" w:h="16838"/>
          <w:pgMar w:top="1440" w:right="1558" w:bottom="1440" w:left="1800" w:header="851" w:footer="992" w:gutter="0"/>
          <w:cols w:space="425" w:num="1"/>
          <w:docGrid w:type="lines" w:linePitch="312" w:charSpace="0"/>
        </w:sectPr>
      </w:pPr>
    </w:p>
    <w:sdt>
      <w:sdtPr>
        <w:rPr>
          <w:rFonts w:ascii="宋体" w:hAnsi="宋体" w:eastAsia="宋体"/>
        </w:rPr>
        <w:id w:val="147470034"/>
        <w:docPartObj>
          <w:docPartGallery w:val="Table of Contents"/>
          <w:docPartUnique/>
        </w:docPartObj>
      </w:sdtPr>
      <w:sdtEndPr>
        <w:rPr>
          <w:rFonts w:ascii="宋体" w:hAnsi="宋体" w:eastAsia="宋体"/>
        </w:rPr>
      </w:sdtEndPr>
      <w:sdtContent>
        <w:p>
          <w:pPr>
            <w:jc w:val="center"/>
          </w:pPr>
          <w:r>
            <w:rPr>
              <w:rFonts w:ascii="宋体" w:hAnsi="宋体" w:eastAsia="宋体"/>
            </w:rPr>
            <w:t>目录</w:t>
          </w:r>
        </w:p>
        <w:p>
          <w:pPr>
            <w:pStyle w:val="11"/>
            <w:tabs>
              <w:tab w:val="right" w:leader="dot" w:pos="8296"/>
            </w:tabs>
            <w:rPr>
              <w:szCs w:val="22"/>
            </w:rPr>
          </w:pPr>
          <w:r>
            <w:fldChar w:fldCharType="begin"/>
          </w:r>
          <w:r>
            <w:instrText xml:space="preserve">TOC \o "1-3" \h \u </w:instrText>
          </w:r>
          <w:r>
            <w:fldChar w:fldCharType="separate"/>
          </w:r>
          <w:r>
            <w:fldChar w:fldCharType="begin"/>
          </w:r>
          <w:r>
            <w:instrText xml:space="preserve"> HYPERLINK \l "_Toc138771410" </w:instrText>
          </w:r>
          <w:r>
            <w:fldChar w:fldCharType="separate"/>
          </w:r>
          <w:r>
            <w:rPr>
              <w:rStyle w:val="14"/>
              <w:rFonts w:ascii="方正楷体_GBK" w:hAnsi="方正楷体_GBK" w:eastAsia="方正楷体_GBK" w:cs="方正楷体_GBK"/>
            </w:rPr>
            <w:t>第一章 公开招标公告</w:t>
          </w:r>
          <w:r>
            <w:tab/>
          </w:r>
          <w:r>
            <w:fldChar w:fldCharType="begin"/>
          </w:r>
          <w:r>
            <w:instrText xml:space="preserve"> PAGEREF _Toc138771410 \h </w:instrText>
          </w:r>
          <w:r>
            <w:fldChar w:fldCharType="separate"/>
          </w:r>
          <w:r>
            <w:t>3</w:t>
          </w:r>
          <w:r>
            <w:fldChar w:fldCharType="end"/>
          </w:r>
          <w:r>
            <w:fldChar w:fldCharType="end"/>
          </w:r>
        </w:p>
        <w:p>
          <w:pPr>
            <w:pStyle w:val="11"/>
            <w:tabs>
              <w:tab w:val="right" w:leader="dot" w:pos="8296"/>
            </w:tabs>
            <w:rPr>
              <w:szCs w:val="22"/>
            </w:rPr>
          </w:pPr>
          <w:r>
            <w:fldChar w:fldCharType="begin"/>
          </w:r>
          <w:r>
            <w:instrText xml:space="preserve"> HYPERLINK \l "_Toc138771411" </w:instrText>
          </w:r>
          <w:r>
            <w:fldChar w:fldCharType="separate"/>
          </w:r>
          <w:r>
            <w:rPr>
              <w:rStyle w:val="14"/>
              <w:rFonts w:ascii="方正楷体_GBK" w:hAnsi="方正楷体_GBK" w:eastAsia="方正楷体_GBK" w:cs="方正楷体_GBK"/>
            </w:rPr>
            <w:t>第二章 投标人须知</w:t>
          </w:r>
          <w:r>
            <w:tab/>
          </w:r>
          <w:r>
            <w:fldChar w:fldCharType="begin"/>
          </w:r>
          <w:r>
            <w:instrText xml:space="preserve"> PAGEREF _Toc138771411 \h </w:instrText>
          </w:r>
          <w:r>
            <w:fldChar w:fldCharType="separate"/>
          </w:r>
          <w:r>
            <w:t>4</w:t>
          </w:r>
          <w:r>
            <w:fldChar w:fldCharType="end"/>
          </w:r>
          <w:r>
            <w:fldChar w:fldCharType="end"/>
          </w:r>
        </w:p>
        <w:p>
          <w:pPr>
            <w:pStyle w:val="6"/>
            <w:tabs>
              <w:tab w:val="right" w:leader="dot" w:pos="8296"/>
            </w:tabs>
            <w:rPr>
              <w:szCs w:val="22"/>
            </w:rPr>
          </w:pPr>
          <w:r>
            <w:fldChar w:fldCharType="begin"/>
          </w:r>
          <w:r>
            <w:instrText xml:space="preserve"> HYPERLINK \l "_Toc138771412" </w:instrText>
          </w:r>
          <w:r>
            <w:fldChar w:fldCharType="separate"/>
          </w:r>
          <w:r>
            <w:rPr>
              <w:rStyle w:val="14"/>
              <w:rFonts w:ascii="华文楷体" w:hAnsi="华文楷体" w:eastAsia="华文楷体" w:cs="华文楷体"/>
            </w:rPr>
            <w:t>一、合格的投标人</w:t>
          </w:r>
          <w:r>
            <w:tab/>
          </w:r>
          <w:r>
            <w:fldChar w:fldCharType="begin"/>
          </w:r>
          <w:r>
            <w:instrText xml:space="preserve"> PAGEREF _Toc138771412 \h </w:instrText>
          </w:r>
          <w:r>
            <w:fldChar w:fldCharType="separate"/>
          </w:r>
          <w:r>
            <w:t>5</w:t>
          </w:r>
          <w:r>
            <w:fldChar w:fldCharType="end"/>
          </w:r>
          <w:r>
            <w:fldChar w:fldCharType="end"/>
          </w:r>
        </w:p>
        <w:p>
          <w:pPr>
            <w:pStyle w:val="6"/>
            <w:tabs>
              <w:tab w:val="right" w:leader="dot" w:pos="8296"/>
            </w:tabs>
            <w:rPr>
              <w:szCs w:val="22"/>
            </w:rPr>
          </w:pPr>
          <w:r>
            <w:fldChar w:fldCharType="begin"/>
          </w:r>
          <w:r>
            <w:instrText xml:space="preserve"> HYPERLINK \l "_Toc138771413" </w:instrText>
          </w:r>
          <w:r>
            <w:fldChar w:fldCharType="separate"/>
          </w:r>
          <w:r>
            <w:rPr>
              <w:rStyle w:val="14"/>
              <w:rFonts w:ascii="华文楷体" w:hAnsi="华文楷体" w:eastAsia="华文楷体" w:cs="华文楷体"/>
            </w:rPr>
            <w:t>二、招标文件</w:t>
          </w:r>
          <w:r>
            <w:tab/>
          </w:r>
          <w:r>
            <w:fldChar w:fldCharType="begin"/>
          </w:r>
          <w:r>
            <w:instrText xml:space="preserve"> PAGEREF _Toc138771413 \h </w:instrText>
          </w:r>
          <w:r>
            <w:fldChar w:fldCharType="separate"/>
          </w:r>
          <w:r>
            <w:t>7</w:t>
          </w:r>
          <w:r>
            <w:fldChar w:fldCharType="end"/>
          </w:r>
          <w:r>
            <w:fldChar w:fldCharType="end"/>
          </w:r>
        </w:p>
        <w:p>
          <w:pPr>
            <w:pStyle w:val="6"/>
            <w:tabs>
              <w:tab w:val="right" w:leader="dot" w:pos="8296"/>
            </w:tabs>
            <w:rPr>
              <w:szCs w:val="22"/>
            </w:rPr>
          </w:pPr>
          <w:r>
            <w:fldChar w:fldCharType="begin"/>
          </w:r>
          <w:r>
            <w:instrText xml:space="preserve"> HYPERLINK \l "_Toc138771414" </w:instrText>
          </w:r>
          <w:r>
            <w:fldChar w:fldCharType="separate"/>
          </w:r>
          <w:r>
            <w:rPr>
              <w:rStyle w:val="14"/>
              <w:rFonts w:ascii="华文楷体" w:hAnsi="华文楷体" w:eastAsia="华文楷体" w:cs="华文楷体"/>
            </w:rPr>
            <w:t>1 招标文件构成</w:t>
          </w:r>
          <w:r>
            <w:tab/>
          </w:r>
          <w:r>
            <w:fldChar w:fldCharType="begin"/>
          </w:r>
          <w:r>
            <w:instrText xml:space="preserve"> PAGEREF _Toc138771414 \h </w:instrText>
          </w:r>
          <w:r>
            <w:fldChar w:fldCharType="separate"/>
          </w:r>
          <w:r>
            <w:t>7</w:t>
          </w:r>
          <w:r>
            <w:fldChar w:fldCharType="end"/>
          </w:r>
          <w:r>
            <w:fldChar w:fldCharType="end"/>
          </w:r>
        </w:p>
        <w:p>
          <w:pPr>
            <w:pStyle w:val="6"/>
            <w:tabs>
              <w:tab w:val="right" w:leader="dot" w:pos="8296"/>
            </w:tabs>
            <w:rPr>
              <w:szCs w:val="22"/>
            </w:rPr>
          </w:pPr>
          <w:r>
            <w:fldChar w:fldCharType="begin"/>
          </w:r>
          <w:r>
            <w:instrText xml:space="preserve"> HYPERLINK \l "_Toc138771415" </w:instrText>
          </w:r>
          <w:r>
            <w:fldChar w:fldCharType="separate"/>
          </w:r>
          <w:r>
            <w:rPr>
              <w:rStyle w:val="14"/>
              <w:rFonts w:ascii="华文楷体" w:hAnsi="华文楷体" w:eastAsia="华文楷体" w:cs="华文楷体"/>
            </w:rPr>
            <w:t>2 招标文件的澄清或者修改</w:t>
          </w:r>
          <w:r>
            <w:tab/>
          </w:r>
          <w:r>
            <w:fldChar w:fldCharType="begin"/>
          </w:r>
          <w:r>
            <w:instrText xml:space="preserve"> PAGEREF _Toc138771415 \h </w:instrText>
          </w:r>
          <w:r>
            <w:fldChar w:fldCharType="separate"/>
          </w:r>
          <w:r>
            <w:t>7</w:t>
          </w:r>
          <w:r>
            <w:fldChar w:fldCharType="end"/>
          </w:r>
          <w:r>
            <w:fldChar w:fldCharType="end"/>
          </w:r>
        </w:p>
        <w:p>
          <w:pPr>
            <w:pStyle w:val="6"/>
            <w:tabs>
              <w:tab w:val="right" w:leader="dot" w:pos="8296"/>
            </w:tabs>
            <w:rPr>
              <w:szCs w:val="22"/>
            </w:rPr>
          </w:pPr>
          <w:r>
            <w:fldChar w:fldCharType="begin"/>
          </w:r>
          <w:r>
            <w:instrText xml:space="preserve"> HYPERLINK \l "_Toc138771416" </w:instrText>
          </w:r>
          <w:r>
            <w:fldChar w:fldCharType="separate"/>
          </w:r>
          <w:r>
            <w:rPr>
              <w:rStyle w:val="14"/>
              <w:rFonts w:ascii="华文楷体" w:hAnsi="华文楷体" w:eastAsia="华文楷体" w:cs="华文楷体"/>
            </w:rPr>
            <w:t>三、投标文件</w:t>
          </w:r>
          <w:r>
            <w:tab/>
          </w:r>
          <w:r>
            <w:fldChar w:fldCharType="begin"/>
          </w:r>
          <w:r>
            <w:instrText xml:space="preserve"> PAGEREF _Toc138771416 \h </w:instrText>
          </w:r>
          <w:r>
            <w:fldChar w:fldCharType="separate"/>
          </w:r>
          <w:r>
            <w:t>8</w:t>
          </w:r>
          <w:r>
            <w:fldChar w:fldCharType="end"/>
          </w:r>
          <w:r>
            <w:fldChar w:fldCharType="end"/>
          </w:r>
        </w:p>
        <w:p>
          <w:pPr>
            <w:pStyle w:val="6"/>
            <w:tabs>
              <w:tab w:val="right" w:leader="dot" w:pos="8296"/>
            </w:tabs>
            <w:rPr>
              <w:szCs w:val="22"/>
            </w:rPr>
          </w:pPr>
          <w:r>
            <w:fldChar w:fldCharType="begin"/>
          </w:r>
          <w:r>
            <w:instrText xml:space="preserve"> HYPERLINK \l "_Toc138771417" </w:instrText>
          </w:r>
          <w:r>
            <w:fldChar w:fldCharType="separate"/>
          </w:r>
          <w:r>
            <w:rPr>
              <w:rStyle w:val="14"/>
              <w:rFonts w:ascii="华文楷体" w:hAnsi="华文楷体" w:eastAsia="华文楷体" w:cs="华文楷体"/>
            </w:rPr>
            <w:t>1 投标文件编写注意事项</w:t>
          </w:r>
          <w:r>
            <w:tab/>
          </w:r>
          <w:r>
            <w:fldChar w:fldCharType="begin"/>
          </w:r>
          <w:r>
            <w:instrText xml:space="preserve"> PAGEREF _Toc138771417 \h </w:instrText>
          </w:r>
          <w:r>
            <w:fldChar w:fldCharType="separate"/>
          </w:r>
          <w:r>
            <w:t>8</w:t>
          </w:r>
          <w:r>
            <w:fldChar w:fldCharType="end"/>
          </w:r>
          <w:r>
            <w:fldChar w:fldCharType="end"/>
          </w:r>
        </w:p>
        <w:p>
          <w:pPr>
            <w:pStyle w:val="6"/>
            <w:tabs>
              <w:tab w:val="right" w:leader="dot" w:pos="8296"/>
            </w:tabs>
            <w:rPr>
              <w:szCs w:val="22"/>
            </w:rPr>
          </w:pPr>
          <w:r>
            <w:fldChar w:fldCharType="begin"/>
          </w:r>
          <w:r>
            <w:instrText xml:space="preserve"> HYPERLINK \l "_Toc138771418" </w:instrText>
          </w:r>
          <w:r>
            <w:fldChar w:fldCharType="separate"/>
          </w:r>
          <w:r>
            <w:rPr>
              <w:rStyle w:val="14"/>
              <w:rFonts w:ascii="华文楷体" w:hAnsi="华文楷体" w:eastAsia="华文楷体" w:cs="华文楷体"/>
            </w:rPr>
            <w:t>2. 投标的语言及计量单位</w:t>
          </w:r>
          <w:r>
            <w:tab/>
          </w:r>
          <w:r>
            <w:fldChar w:fldCharType="begin"/>
          </w:r>
          <w:r>
            <w:instrText xml:space="preserve"> PAGEREF _Toc138771418 \h </w:instrText>
          </w:r>
          <w:r>
            <w:fldChar w:fldCharType="separate"/>
          </w:r>
          <w:r>
            <w:t>8</w:t>
          </w:r>
          <w:r>
            <w:fldChar w:fldCharType="end"/>
          </w:r>
          <w:r>
            <w:fldChar w:fldCharType="end"/>
          </w:r>
        </w:p>
        <w:p>
          <w:pPr>
            <w:pStyle w:val="6"/>
            <w:tabs>
              <w:tab w:val="right" w:leader="dot" w:pos="8296"/>
            </w:tabs>
            <w:rPr>
              <w:szCs w:val="22"/>
            </w:rPr>
          </w:pPr>
          <w:r>
            <w:fldChar w:fldCharType="begin"/>
          </w:r>
          <w:r>
            <w:instrText xml:space="preserve"> HYPERLINK \l "_Toc138771419" </w:instrText>
          </w:r>
          <w:r>
            <w:fldChar w:fldCharType="separate"/>
          </w:r>
          <w:r>
            <w:rPr>
              <w:rStyle w:val="14"/>
              <w:rFonts w:ascii="华文楷体" w:hAnsi="华文楷体" w:eastAsia="华文楷体" w:cs="华文楷体"/>
            </w:rPr>
            <w:t>3 投标文件构成（格式）</w:t>
          </w:r>
          <w:r>
            <w:tab/>
          </w:r>
          <w:r>
            <w:fldChar w:fldCharType="begin"/>
          </w:r>
          <w:r>
            <w:instrText xml:space="preserve"> PAGEREF _Toc138771419 \h </w:instrText>
          </w:r>
          <w:r>
            <w:fldChar w:fldCharType="separate"/>
          </w:r>
          <w:r>
            <w:t>8</w:t>
          </w:r>
          <w:r>
            <w:fldChar w:fldCharType="end"/>
          </w:r>
          <w:r>
            <w:fldChar w:fldCharType="end"/>
          </w:r>
        </w:p>
        <w:p>
          <w:pPr>
            <w:pStyle w:val="6"/>
            <w:tabs>
              <w:tab w:val="right" w:leader="dot" w:pos="8296"/>
            </w:tabs>
            <w:rPr>
              <w:szCs w:val="22"/>
            </w:rPr>
          </w:pPr>
          <w:r>
            <w:fldChar w:fldCharType="begin"/>
          </w:r>
          <w:r>
            <w:instrText xml:space="preserve"> HYPERLINK \l "_Toc138771420" </w:instrText>
          </w:r>
          <w:r>
            <w:fldChar w:fldCharType="separate"/>
          </w:r>
          <w:r>
            <w:rPr>
              <w:rStyle w:val="14"/>
              <w:rFonts w:ascii="华文楷体" w:hAnsi="华文楷体" w:eastAsia="华文楷体" w:cs="华文楷体"/>
            </w:rPr>
            <w:t>4 投标报价</w:t>
          </w:r>
          <w:r>
            <w:tab/>
          </w:r>
          <w:r>
            <w:fldChar w:fldCharType="begin"/>
          </w:r>
          <w:r>
            <w:instrText xml:space="preserve"> PAGEREF _Toc138771420 \h </w:instrText>
          </w:r>
          <w:r>
            <w:fldChar w:fldCharType="separate"/>
          </w:r>
          <w:r>
            <w:t>8</w:t>
          </w:r>
          <w:r>
            <w:fldChar w:fldCharType="end"/>
          </w:r>
          <w:r>
            <w:fldChar w:fldCharType="end"/>
          </w:r>
        </w:p>
        <w:p>
          <w:pPr>
            <w:pStyle w:val="6"/>
            <w:tabs>
              <w:tab w:val="right" w:leader="dot" w:pos="8296"/>
            </w:tabs>
            <w:rPr>
              <w:szCs w:val="22"/>
            </w:rPr>
          </w:pPr>
          <w:r>
            <w:fldChar w:fldCharType="begin"/>
          </w:r>
          <w:r>
            <w:instrText xml:space="preserve"> HYPERLINK \l "_Toc138771421" </w:instrText>
          </w:r>
          <w:r>
            <w:fldChar w:fldCharType="separate"/>
          </w:r>
          <w:r>
            <w:rPr>
              <w:rStyle w:val="14"/>
              <w:rFonts w:ascii="华文楷体" w:hAnsi="华文楷体" w:eastAsia="华文楷体" w:cs="华文楷体"/>
            </w:rPr>
            <w:t>四、响应文件递交</w:t>
          </w:r>
          <w:r>
            <w:tab/>
          </w:r>
          <w:r>
            <w:fldChar w:fldCharType="begin"/>
          </w:r>
          <w:r>
            <w:instrText xml:space="preserve"> PAGEREF _Toc138771421 \h </w:instrText>
          </w:r>
          <w:r>
            <w:fldChar w:fldCharType="separate"/>
          </w:r>
          <w:r>
            <w:t>9</w:t>
          </w:r>
          <w:r>
            <w:fldChar w:fldCharType="end"/>
          </w:r>
          <w:r>
            <w:fldChar w:fldCharType="end"/>
          </w:r>
        </w:p>
        <w:p>
          <w:pPr>
            <w:pStyle w:val="6"/>
            <w:tabs>
              <w:tab w:val="right" w:leader="dot" w:pos="8296"/>
            </w:tabs>
            <w:rPr>
              <w:szCs w:val="22"/>
            </w:rPr>
          </w:pPr>
          <w:r>
            <w:fldChar w:fldCharType="begin"/>
          </w:r>
          <w:r>
            <w:instrText xml:space="preserve"> HYPERLINK \l "_Toc138771422" </w:instrText>
          </w:r>
          <w:r>
            <w:fldChar w:fldCharType="separate"/>
          </w:r>
          <w:r>
            <w:rPr>
              <w:rStyle w:val="14"/>
              <w:rFonts w:ascii="华文楷体" w:hAnsi="华文楷体" w:eastAsia="华文楷体" w:cs="华文楷体"/>
            </w:rPr>
            <w:t>五、开标与评标</w:t>
          </w:r>
          <w:r>
            <w:tab/>
          </w:r>
          <w:r>
            <w:fldChar w:fldCharType="begin"/>
          </w:r>
          <w:r>
            <w:instrText xml:space="preserve"> PAGEREF _Toc138771422 \h </w:instrText>
          </w:r>
          <w:r>
            <w:fldChar w:fldCharType="separate"/>
          </w:r>
          <w:r>
            <w:t>9</w:t>
          </w:r>
          <w:r>
            <w:fldChar w:fldCharType="end"/>
          </w:r>
          <w:r>
            <w:fldChar w:fldCharType="end"/>
          </w:r>
        </w:p>
        <w:p>
          <w:pPr>
            <w:pStyle w:val="6"/>
            <w:tabs>
              <w:tab w:val="right" w:leader="dot" w:pos="8296"/>
            </w:tabs>
            <w:rPr>
              <w:szCs w:val="22"/>
            </w:rPr>
          </w:pPr>
          <w:r>
            <w:fldChar w:fldCharType="begin"/>
          </w:r>
          <w:r>
            <w:instrText xml:space="preserve"> HYPERLINK \l "_Toc138771423" </w:instrText>
          </w:r>
          <w:r>
            <w:fldChar w:fldCharType="separate"/>
          </w:r>
          <w:r>
            <w:rPr>
              <w:rStyle w:val="14"/>
              <w:rFonts w:ascii="华文楷体" w:hAnsi="华文楷体" w:eastAsia="华文楷体" w:cs="华文楷体"/>
            </w:rPr>
            <w:t>1.评审专家组</w:t>
          </w:r>
          <w:r>
            <w:tab/>
          </w:r>
          <w:r>
            <w:fldChar w:fldCharType="begin"/>
          </w:r>
          <w:r>
            <w:instrText xml:space="preserve"> PAGEREF _Toc138771423 \h </w:instrText>
          </w:r>
          <w:r>
            <w:fldChar w:fldCharType="separate"/>
          </w:r>
          <w:r>
            <w:t>9</w:t>
          </w:r>
          <w:r>
            <w:fldChar w:fldCharType="end"/>
          </w:r>
          <w:r>
            <w:fldChar w:fldCharType="end"/>
          </w:r>
        </w:p>
        <w:p>
          <w:pPr>
            <w:pStyle w:val="6"/>
            <w:tabs>
              <w:tab w:val="right" w:leader="dot" w:pos="8296"/>
            </w:tabs>
            <w:rPr>
              <w:szCs w:val="22"/>
            </w:rPr>
          </w:pPr>
          <w:r>
            <w:fldChar w:fldCharType="begin"/>
          </w:r>
          <w:r>
            <w:instrText xml:space="preserve"> HYPERLINK \l "_Toc138771424" </w:instrText>
          </w:r>
          <w:r>
            <w:fldChar w:fldCharType="separate"/>
          </w:r>
          <w:r>
            <w:rPr>
              <w:rStyle w:val="14"/>
              <w:rFonts w:ascii="华文楷体" w:hAnsi="华文楷体" w:eastAsia="华文楷体" w:cs="华文楷体"/>
            </w:rPr>
            <w:t>2.评标方法</w:t>
          </w:r>
          <w:r>
            <w:tab/>
          </w:r>
          <w:r>
            <w:fldChar w:fldCharType="begin"/>
          </w:r>
          <w:r>
            <w:instrText xml:space="preserve"> PAGEREF _Toc138771424 \h </w:instrText>
          </w:r>
          <w:r>
            <w:fldChar w:fldCharType="separate"/>
          </w:r>
          <w:r>
            <w:t>9</w:t>
          </w:r>
          <w:r>
            <w:fldChar w:fldCharType="end"/>
          </w:r>
          <w:r>
            <w:fldChar w:fldCharType="end"/>
          </w:r>
        </w:p>
        <w:p>
          <w:pPr>
            <w:pStyle w:val="6"/>
            <w:tabs>
              <w:tab w:val="right" w:leader="dot" w:pos="8296"/>
            </w:tabs>
            <w:rPr>
              <w:szCs w:val="22"/>
            </w:rPr>
          </w:pPr>
          <w:r>
            <w:fldChar w:fldCharType="begin"/>
          </w:r>
          <w:r>
            <w:instrText xml:space="preserve"> HYPERLINK \l "_Toc138771425" </w:instrText>
          </w:r>
          <w:r>
            <w:fldChar w:fldCharType="separate"/>
          </w:r>
          <w:r>
            <w:rPr>
              <w:rStyle w:val="14"/>
              <w:rFonts w:ascii="华文楷体" w:hAnsi="华文楷体" w:eastAsia="华文楷体" w:cs="华文楷体"/>
            </w:rPr>
            <w:t>六、中标结果</w:t>
          </w:r>
          <w:r>
            <w:tab/>
          </w:r>
          <w:r>
            <w:fldChar w:fldCharType="begin"/>
          </w:r>
          <w:r>
            <w:instrText xml:space="preserve"> PAGEREF _Toc138771425 \h </w:instrText>
          </w:r>
          <w:r>
            <w:fldChar w:fldCharType="separate"/>
          </w:r>
          <w:r>
            <w:t>10</w:t>
          </w:r>
          <w:r>
            <w:fldChar w:fldCharType="end"/>
          </w:r>
          <w:r>
            <w:fldChar w:fldCharType="end"/>
          </w:r>
        </w:p>
        <w:p>
          <w:pPr>
            <w:pStyle w:val="11"/>
            <w:tabs>
              <w:tab w:val="right" w:leader="dot" w:pos="8296"/>
            </w:tabs>
            <w:rPr>
              <w:szCs w:val="22"/>
            </w:rPr>
          </w:pPr>
          <w:r>
            <w:fldChar w:fldCharType="begin"/>
          </w:r>
          <w:r>
            <w:instrText xml:space="preserve"> HYPERLINK \l "_Toc138771426" </w:instrText>
          </w:r>
          <w:r>
            <w:fldChar w:fldCharType="separate"/>
          </w:r>
          <w:r>
            <w:rPr>
              <w:rStyle w:val="14"/>
              <w:rFonts w:ascii="方正楷体_GBK" w:hAnsi="方正楷体_GBK" w:eastAsia="方正楷体_GBK" w:cs="方正楷体_GBK"/>
            </w:rPr>
            <w:t>第三章 合同书样式及主要条款</w:t>
          </w:r>
          <w:r>
            <w:tab/>
          </w:r>
          <w:r>
            <w:fldChar w:fldCharType="begin"/>
          </w:r>
          <w:r>
            <w:instrText xml:space="preserve"> PAGEREF _Toc138771426 \h </w:instrText>
          </w:r>
          <w:r>
            <w:fldChar w:fldCharType="separate"/>
          </w:r>
          <w:r>
            <w:t>11</w:t>
          </w:r>
          <w:r>
            <w:fldChar w:fldCharType="end"/>
          </w:r>
          <w:r>
            <w:fldChar w:fldCharType="end"/>
          </w:r>
        </w:p>
        <w:p>
          <w:pPr>
            <w:pStyle w:val="11"/>
            <w:tabs>
              <w:tab w:val="right" w:leader="dot" w:pos="8296"/>
            </w:tabs>
            <w:rPr>
              <w:szCs w:val="22"/>
            </w:rPr>
          </w:pPr>
          <w:r>
            <w:fldChar w:fldCharType="begin"/>
          </w:r>
          <w:r>
            <w:instrText xml:space="preserve"> HYPERLINK \l "_Toc138771428" </w:instrText>
          </w:r>
          <w:r>
            <w:fldChar w:fldCharType="separate"/>
          </w:r>
          <w:r>
            <w:rPr>
              <w:rStyle w:val="14"/>
              <w:rFonts w:ascii="方正楷体_GBK" w:hAnsi="方正楷体_GBK" w:eastAsia="方正楷体_GBK" w:cs="方正楷体_GBK"/>
            </w:rPr>
            <w:t>第</w:t>
          </w:r>
          <w:r>
            <w:rPr>
              <w:rStyle w:val="14"/>
              <w:rFonts w:hint="eastAsia" w:ascii="方正楷体_GBK" w:hAnsi="方正楷体_GBK" w:eastAsia="方正楷体_GBK" w:cs="方正楷体_GBK"/>
              <w:lang w:eastAsia="zh-CN"/>
            </w:rPr>
            <w:t>四</w:t>
          </w:r>
          <w:r>
            <w:rPr>
              <w:rStyle w:val="14"/>
              <w:rFonts w:ascii="方正楷体_GBK" w:hAnsi="方正楷体_GBK" w:eastAsia="方正楷体_GBK" w:cs="方正楷体_GBK"/>
            </w:rPr>
            <w:t>章  项目需求及技术要求</w:t>
          </w:r>
          <w:r>
            <w:tab/>
          </w:r>
          <w:r>
            <w:fldChar w:fldCharType="begin"/>
          </w:r>
          <w:r>
            <w:instrText xml:space="preserve"> PAGEREF _Toc138771428 \h </w:instrText>
          </w:r>
          <w:r>
            <w:fldChar w:fldCharType="separate"/>
          </w:r>
          <w:r>
            <w:t>11</w:t>
          </w:r>
          <w:r>
            <w:fldChar w:fldCharType="end"/>
          </w:r>
          <w:r>
            <w:fldChar w:fldCharType="end"/>
          </w:r>
        </w:p>
        <w:p>
          <w:pPr>
            <w:pStyle w:val="11"/>
            <w:tabs>
              <w:tab w:val="right" w:leader="dot" w:pos="8296"/>
            </w:tabs>
            <w:rPr>
              <w:szCs w:val="22"/>
            </w:rPr>
          </w:pPr>
          <w:r>
            <w:fldChar w:fldCharType="begin"/>
          </w:r>
          <w:r>
            <w:instrText xml:space="preserve"> HYPERLINK \l "_Toc138771429" </w:instrText>
          </w:r>
          <w:r>
            <w:fldChar w:fldCharType="separate"/>
          </w:r>
          <w:r>
            <w:rPr>
              <w:rStyle w:val="14"/>
              <w:rFonts w:ascii="方正楷体_GBK" w:hAnsi="方正楷体_GBK" w:eastAsia="方正楷体_GBK" w:cs="方正楷体_GBK"/>
            </w:rPr>
            <w:t>第</w:t>
          </w:r>
          <w:r>
            <w:rPr>
              <w:rStyle w:val="14"/>
              <w:rFonts w:hint="eastAsia" w:ascii="方正楷体_GBK" w:hAnsi="方正楷体_GBK" w:eastAsia="方正楷体_GBK" w:cs="方正楷体_GBK"/>
              <w:lang w:eastAsia="zh-CN"/>
            </w:rPr>
            <w:t>五</w:t>
          </w:r>
          <w:r>
            <w:rPr>
              <w:rStyle w:val="14"/>
              <w:rFonts w:ascii="方正楷体_GBK" w:hAnsi="方正楷体_GBK" w:eastAsia="方正楷体_GBK" w:cs="方正楷体_GBK"/>
            </w:rPr>
            <w:t>章  资格评审标准</w:t>
          </w:r>
          <w:r>
            <w:tab/>
          </w:r>
          <w:r>
            <w:fldChar w:fldCharType="begin"/>
          </w:r>
          <w:r>
            <w:instrText xml:space="preserve"> PAGEREF _Toc138771429 \h </w:instrText>
          </w:r>
          <w:r>
            <w:fldChar w:fldCharType="separate"/>
          </w:r>
          <w:r>
            <w:t>14</w:t>
          </w:r>
          <w:r>
            <w:fldChar w:fldCharType="end"/>
          </w:r>
          <w:r>
            <w:fldChar w:fldCharType="end"/>
          </w:r>
        </w:p>
        <w:p>
          <w:pPr>
            <w:pStyle w:val="11"/>
            <w:tabs>
              <w:tab w:val="right" w:leader="dot" w:pos="8296"/>
            </w:tabs>
            <w:rPr>
              <w:szCs w:val="22"/>
            </w:rPr>
          </w:pPr>
          <w:r>
            <w:fldChar w:fldCharType="begin"/>
          </w:r>
          <w:r>
            <w:instrText xml:space="preserve"> HYPERLINK \l "_Toc138771430" </w:instrText>
          </w:r>
          <w:r>
            <w:fldChar w:fldCharType="separate"/>
          </w:r>
          <w:r>
            <w:rPr>
              <w:rStyle w:val="14"/>
              <w:rFonts w:ascii="方正楷体_GBK" w:hAnsi="方正楷体_GBK" w:eastAsia="方正楷体_GBK" w:cs="方正楷体_GBK"/>
            </w:rPr>
            <w:t>第</w:t>
          </w:r>
          <w:r>
            <w:rPr>
              <w:rStyle w:val="14"/>
              <w:rFonts w:hint="eastAsia" w:ascii="方正楷体_GBK" w:hAnsi="方正楷体_GBK" w:eastAsia="方正楷体_GBK" w:cs="方正楷体_GBK"/>
              <w:lang w:eastAsia="zh-CN"/>
            </w:rPr>
            <w:t>六</w:t>
          </w:r>
          <w:r>
            <w:rPr>
              <w:rStyle w:val="14"/>
              <w:rFonts w:ascii="方正楷体_GBK" w:hAnsi="方正楷体_GBK" w:eastAsia="方正楷体_GBK" w:cs="方正楷体_GBK"/>
            </w:rPr>
            <w:t>章  评标方法（综合评分法）</w:t>
          </w:r>
          <w:r>
            <w:tab/>
          </w:r>
          <w:r>
            <w:fldChar w:fldCharType="begin"/>
          </w:r>
          <w:r>
            <w:instrText xml:space="preserve"> PAGEREF _Toc138771430 \h </w:instrText>
          </w:r>
          <w:r>
            <w:fldChar w:fldCharType="separate"/>
          </w:r>
          <w:r>
            <w:t>16</w:t>
          </w:r>
          <w:r>
            <w:fldChar w:fldCharType="end"/>
          </w:r>
          <w:r>
            <w:fldChar w:fldCharType="end"/>
          </w:r>
        </w:p>
        <w:p>
          <w:pPr>
            <w:pStyle w:val="6"/>
            <w:tabs>
              <w:tab w:val="right" w:leader="dot" w:pos="8296"/>
            </w:tabs>
            <w:rPr>
              <w:szCs w:val="22"/>
            </w:rPr>
          </w:pPr>
          <w:r>
            <w:fldChar w:fldCharType="begin"/>
          </w:r>
          <w:r>
            <w:instrText xml:space="preserve"> HYPERLINK \l "_Toc138771431" </w:instrText>
          </w:r>
          <w:r>
            <w:fldChar w:fldCharType="separate"/>
          </w:r>
          <w:r>
            <w:rPr>
              <w:rStyle w:val="14"/>
              <w:rFonts w:ascii="华文楷体" w:hAnsi="华文楷体" w:eastAsia="华文楷体" w:cs="华文楷体"/>
            </w:rPr>
            <w:t>一、评标方法</w:t>
          </w:r>
          <w:r>
            <w:tab/>
          </w:r>
          <w:r>
            <w:fldChar w:fldCharType="begin"/>
          </w:r>
          <w:r>
            <w:instrText xml:space="preserve"> PAGEREF _Toc138771431 \h </w:instrText>
          </w:r>
          <w:r>
            <w:fldChar w:fldCharType="separate"/>
          </w:r>
          <w:r>
            <w:t>17</w:t>
          </w:r>
          <w:r>
            <w:fldChar w:fldCharType="end"/>
          </w:r>
          <w:r>
            <w:fldChar w:fldCharType="end"/>
          </w:r>
        </w:p>
        <w:p>
          <w:pPr>
            <w:pStyle w:val="6"/>
            <w:tabs>
              <w:tab w:val="right" w:leader="dot" w:pos="8296"/>
            </w:tabs>
            <w:rPr>
              <w:szCs w:val="22"/>
            </w:rPr>
          </w:pPr>
          <w:r>
            <w:fldChar w:fldCharType="begin"/>
          </w:r>
          <w:r>
            <w:instrText xml:space="preserve"> HYPERLINK \l "_Toc138771432" </w:instrText>
          </w:r>
          <w:r>
            <w:fldChar w:fldCharType="separate"/>
          </w:r>
          <w:r>
            <w:rPr>
              <w:rStyle w:val="14"/>
              <w:rFonts w:ascii="华文楷体" w:hAnsi="华文楷体" w:eastAsia="华文楷体" w:cs="华文楷体"/>
            </w:rPr>
            <w:t>二、评标程序及标准</w:t>
          </w:r>
          <w:r>
            <w:tab/>
          </w:r>
          <w:r>
            <w:fldChar w:fldCharType="begin"/>
          </w:r>
          <w:r>
            <w:instrText xml:space="preserve"> PAGEREF _Toc138771432 \h </w:instrText>
          </w:r>
          <w:r>
            <w:fldChar w:fldCharType="separate"/>
          </w:r>
          <w:r>
            <w:t>18</w:t>
          </w:r>
          <w:r>
            <w:fldChar w:fldCharType="end"/>
          </w:r>
          <w:r>
            <w:fldChar w:fldCharType="end"/>
          </w:r>
        </w:p>
        <w:p>
          <w:pPr>
            <w:pStyle w:val="6"/>
            <w:tabs>
              <w:tab w:val="right" w:leader="dot" w:pos="8296"/>
            </w:tabs>
            <w:rPr>
              <w:szCs w:val="22"/>
            </w:rPr>
          </w:pPr>
          <w:r>
            <w:fldChar w:fldCharType="begin"/>
          </w:r>
          <w:r>
            <w:instrText xml:space="preserve"> HYPERLINK \l "_Toc138771433" </w:instrText>
          </w:r>
          <w:r>
            <w:fldChar w:fldCharType="separate"/>
          </w:r>
          <w:r>
            <w:rPr>
              <w:rStyle w:val="14"/>
              <w:rFonts w:ascii="华文楷体" w:hAnsi="华文楷体" w:eastAsia="华文楷体" w:cs="华文楷体"/>
            </w:rPr>
            <w:t>2.1符合性评审</w:t>
          </w:r>
          <w:r>
            <w:tab/>
          </w:r>
          <w:r>
            <w:fldChar w:fldCharType="begin"/>
          </w:r>
          <w:r>
            <w:instrText xml:space="preserve"> PAGEREF _Toc138771433 \h </w:instrText>
          </w:r>
          <w:r>
            <w:fldChar w:fldCharType="separate"/>
          </w:r>
          <w:r>
            <w:t>18</w:t>
          </w:r>
          <w:r>
            <w:fldChar w:fldCharType="end"/>
          </w:r>
          <w:r>
            <w:fldChar w:fldCharType="end"/>
          </w:r>
        </w:p>
        <w:p>
          <w:pPr>
            <w:pStyle w:val="6"/>
            <w:tabs>
              <w:tab w:val="right" w:leader="dot" w:pos="8296"/>
            </w:tabs>
            <w:rPr>
              <w:szCs w:val="22"/>
            </w:rPr>
          </w:pPr>
          <w:r>
            <w:fldChar w:fldCharType="begin"/>
          </w:r>
          <w:r>
            <w:instrText xml:space="preserve"> HYPERLINK \l "_Toc138771434" </w:instrText>
          </w:r>
          <w:r>
            <w:fldChar w:fldCharType="separate"/>
          </w:r>
          <w:r>
            <w:rPr>
              <w:rStyle w:val="14"/>
              <w:rFonts w:ascii="华文楷体" w:hAnsi="华文楷体" w:eastAsia="华文楷体" w:cs="华文楷体"/>
            </w:rPr>
            <w:t>2.2详细评审</w:t>
          </w:r>
          <w:r>
            <w:tab/>
          </w:r>
          <w:r>
            <w:fldChar w:fldCharType="begin"/>
          </w:r>
          <w:r>
            <w:instrText xml:space="preserve"> PAGEREF _Toc138771434 \h </w:instrText>
          </w:r>
          <w:r>
            <w:fldChar w:fldCharType="separate"/>
          </w:r>
          <w:r>
            <w:t>18</w:t>
          </w:r>
          <w:r>
            <w:fldChar w:fldCharType="end"/>
          </w:r>
          <w:r>
            <w:fldChar w:fldCharType="end"/>
          </w:r>
        </w:p>
        <w:p>
          <w:pPr>
            <w:pStyle w:val="6"/>
            <w:tabs>
              <w:tab w:val="right" w:leader="dot" w:pos="8296"/>
            </w:tabs>
            <w:rPr>
              <w:szCs w:val="22"/>
            </w:rPr>
          </w:pPr>
          <w:r>
            <w:fldChar w:fldCharType="begin"/>
          </w:r>
          <w:r>
            <w:instrText xml:space="preserve"> HYPERLINK \l "_Toc138771435" </w:instrText>
          </w:r>
          <w:r>
            <w:fldChar w:fldCharType="separate"/>
          </w:r>
          <w:r>
            <w:rPr>
              <w:rStyle w:val="14"/>
              <w:rFonts w:ascii="华文楷体" w:hAnsi="华文楷体" w:eastAsia="华文楷体" w:cs="华文楷体"/>
            </w:rPr>
            <w:t>三、投标文件的澄清</w:t>
          </w:r>
          <w:r>
            <w:tab/>
          </w:r>
          <w:r>
            <w:fldChar w:fldCharType="begin"/>
          </w:r>
          <w:r>
            <w:instrText xml:space="preserve"> PAGEREF _Toc138771435 \h </w:instrText>
          </w:r>
          <w:r>
            <w:fldChar w:fldCharType="separate"/>
          </w:r>
          <w:r>
            <w:t>19</w:t>
          </w:r>
          <w:r>
            <w:fldChar w:fldCharType="end"/>
          </w:r>
          <w:r>
            <w:fldChar w:fldCharType="end"/>
          </w:r>
        </w:p>
        <w:p>
          <w:pPr>
            <w:pStyle w:val="6"/>
            <w:tabs>
              <w:tab w:val="right" w:leader="dot" w:pos="8296"/>
            </w:tabs>
            <w:rPr>
              <w:szCs w:val="22"/>
            </w:rPr>
          </w:pPr>
          <w:r>
            <w:fldChar w:fldCharType="begin"/>
          </w:r>
          <w:r>
            <w:instrText xml:space="preserve"> HYPERLINK \l "_Toc138771436" </w:instrText>
          </w:r>
          <w:r>
            <w:fldChar w:fldCharType="separate"/>
          </w:r>
          <w:r>
            <w:rPr>
              <w:rStyle w:val="14"/>
              <w:rFonts w:ascii="华文楷体" w:hAnsi="华文楷体" w:eastAsia="华文楷体" w:cs="华文楷体"/>
            </w:rPr>
            <w:t>四、评标结果</w:t>
          </w:r>
          <w:r>
            <w:tab/>
          </w:r>
          <w:r>
            <w:fldChar w:fldCharType="begin"/>
          </w:r>
          <w:r>
            <w:instrText xml:space="preserve"> PAGEREF _Toc138771436 \h </w:instrText>
          </w:r>
          <w:r>
            <w:fldChar w:fldCharType="separate"/>
          </w:r>
          <w:r>
            <w:t>19</w:t>
          </w:r>
          <w:r>
            <w:fldChar w:fldCharType="end"/>
          </w:r>
          <w:r>
            <w:fldChar w:fldCharType="end"/>
          </w:r>
        </w:p>
        <w:p>
          <w:r>
            <w:fldChar w:fldCharType="end"/>
          </w:r>
        </w:p>
      </w:sdtContent>
    </w:sdt>
    <w:p>
      <w:pPr>
        <w:pStyle w:val="2"/>
        <w:rPr>
          <w:rFonts w:ascii="方正楷体_GBK" w:hAnsi="方正楷体_GBK" w:eastAsia="方正楷体_GBK" w:cs="方正楷体_GBK"/>
          <w:sz w:val="28"/>
          <w:szCs w:val="22"/>
        </w:rPr>
        <w:sectPr>
          <w:pgSz w:w="11906" w:h="16838"/>
          <w:pgMar w:top="1440" w:right="1800" w:bottom="1440" w:left="1800" w:header="851" w:footer="992" w:gutter="0"/>
          <w:cols w:space="425" w:num="1"/>
          <w:docGrid w:type="lines" w:linePitch="312" w:charSpace="0"/>
        </w:sectPr>
      </w:pPr>
    </w:p>
    <w:p>
      <w:pPr>
        <w:pStyle w:val="2"/>
        <w:rPr>
          <w:rFonts w:ascii="方正楷体_GBK" w:hAnsi="方正楷体_GBK" w:eastAsia="方正楷体_GBK" w:cs="方正楷体_GBK"/>
          <w:sz w:val="28"/>
          <w:szCs w:val="22"/>
        </w:rPr>
      </w:pPr>
      <w:bookmarkStart w:id="0" w:name="_Toc138771410"/>
      <w:r>
        <w:rPr>
          <w:rFonts w:hint="eastAsia" w:ascii="方正楷体_GBK" w:hAnsi="方正楷体_GBK" w:eastAsia="方正楷体_GBK" w:cs="方正楷体_GBK"/>
          <w:sz w:val="28"/>
          <w:szCs w:val="22"/>
        </w:rPr>
        <w:t>第一章 公开招标公告</w:t>
      </w:r>
      <w:bookmarkEnd w:id="0"/>
    </w:p>
    <w:p>
      <w:pPr>
        <w:rPr>
          <w:rFonts w:ascii="方正楷体_GBK" w:hAnsi="方正楷体_GBK" w:eastAsia="方正楷体_GBK" w:cs="方正楷体_GBK"/>
        </w:rPr>
      </w:pPr>
      <w:r>
        <w:rPr>
          <w:rFonts w:hint="eastAsia" w:ascii="方正楷体_GBK" w:hAnsi="方正楷体_GBK" w:eastAsia="方正楷体_GBK" w:cs="方正楷体_GBK"/>
        </w:rPr>
        <w:t>见医院官方网站http://www.kyfey.com/</w:t>
      </w:r>
    </w:p>
    <w:p>
      <w:pPr>
        <w:rPr>
          <w:rFonts w:ascii="华文楷体" w:hAnsi="华文楷体" w:eastAsia="华文楷体" w:cs="华文楷体"/>
          <w:sz w:val="24"/>
        </w:rPr>
      </w:pPr>
    </w:p>
    <w:p>
      <w:pPr>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pPr>
        <w:pStyle w:val="2"/>
        <w:rPr>
          <w:rFonts w:ascii="方正楷体_GBK" w:hAnsi="方正楷体_GBK" w:eastAsia="方正楷体_GBK" w:cs="方正楷体_GBK"/>
          <w:sz w:val="28"/>
          <w:szCs w:val="22"/>
        </w:rPr>
      </w:pPr>
      <w:bookmarkStart w:id="1" w:name="_Toc138771411"/>
      <w:r>
        <w:rPr>
          <w:rFonts w:hint="eastAsia" w:ascii="方正楷体_GBK" w:hAnsi="方正楷体_GBK" w:eastAsia="方正楷体_GBK" w:cs="方正楷体_GBK"/>
          <w:sz w:val="28"/>
          <w:szCs w:val="22"/>
        </w:rPr>
        <w:t>第二章 投标人须知</w:t>
      </w:r>
      <w:bookmarkEnd w:id="1"/>
    </w:p>
    <w:tbl>
      <w:tblPr>
        <w:tblStyle w:val="12"/>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6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3021" w:type="dxa"/>
            <w:vAlign w:val="center"/>
          </w:tcPr>
          <w:p>
            <w:pPr>
              <w:pStyle w:val="7"/>
              <w:spacing w:line="300" w:lineRule="exact"/>
              <w:jc w:val="center"/>
              <w:rPr>
                <w:rFonts w:ascii="华文楷体" w:hAnsi="华文楷体" w:eastAsia="华文楷体" w:cs="华文楷体"/>
                <w:b/>
                <w:sz w:val="20"/>
              </w:rPr>
            </w:pPr>
            <w:r>
              <w:rPr>
                <w:rFonts w:hint="eastAsia" w:ascii="华文楷体" w:hAnsi="华文楷体" w:eastAsia="华文楷体" w:cs="华文楷体"/>
                <w:b/>
                <w:sz w:val="20"/>
              </w:rPr>
              <w:t>条 款 名 称</w:t>
            </w:r>
          </w:p>
        </w:tc>
        <w:tc>
          <w:tcPr>
            <w:tcW w:w="6787" w:type="dxa"/>
            <w:vAlign w:val="center"/>
          </w:tcPr>
          <w:p>
            <w:pPr>
              <w:pStyle w:val="7"/>
              <w:spacing w:line="300" w:lineRule="exact"/>
              <w:jc w:val="center"/>
              <w:rPr>
                <w:rFonts w:ascii="华文楷体" w:hAnsi="华文楷体" w:eastAsia="华文楷体" w:cs="华文楷体"/>
                <w:b/>
                <w:sz w:val="20"/>
              </w:rPr>
            </w:pPr>
            <w:r>
              <w:rPr>
                <w:rFonts w:hint="eastAsia" w:ascii="华文楷体" w:hAnsi="华文楷体" w:eastAsia="华文楷体" w:cs="华文楷体"/>
                <w:b/>
                <w:sz w:val="2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21" w:type="dxa"/>
            <w:vAlign w:val="center"/>
          </w:tcPr>
          <w:p>
            <w:pPr>
              <w:pStyle w:val="7"/>
              <w:spacing w:line="300" w:lineRule="exact"/>
              <w:rPr>
                <w:rFonts w:ascii="华文楷体" w:hAnsi="华文楷体" w:eastAsia="华文楷体" w:cs="华文楷体"/>
                <w:sz w:val="20"/>
                <w:u w:val="single"/>
              </w:rPr>
            </w:pPr>
            <w:r>
              <w:rPr>
                <w:rFonts w:hint="eastAsia" w:ascii="华文楷体" w:hAnsi="华文楷体" w:eastAsia="华文楷体" w:cs="华文楷体"/>
                <w:bCs/>
                <w:sz w:val="20"/>
              </w:rPr>
              <w:t>采购人</w:t>
            </w:r>
            <w:r>
              <w:rPr>
                <w:rFonts w:hint="eastAsia" w:ascii="华文楷体" w:hAnsi="华文楷体" w:eastAsia="华文楷体" w:cs="华文楷体"/>
                <w:kern w:val="48"/>
                <w:sz w:val="20"/>
              </w:rPr>
              <w:t xml:space="preserve"> </w:t>
            </w:r>
          </w:p>
        </w:tc>
        <w:tc>
          <w:tcPr>
            <w:tcW w:w="6787" w:type="dxa"/>
            <w:vAlign w:val="center"/>
          </w:tcPr>
          <w:p>
            <w:pPr>
              <w:pStyle w:val="7"/>
              <w:spacing w:line="300" w:lineRule="exact"/>
              <w:rPr>
                <w:rFonts w:ascii="华文楷体" w:hAnsi="华文楷体" w:eastAsia="华文楷体" w:cs="华文楷体"/>
                <w:sz w:val="20"/>
                <w:u w:val="single"/>
              </w:rPr>
            </w:pPr>
            <w:r>
              <w:rPr>
                <w:rFonts w:hint="eastAsia" w:ascii="华文楷体" w:hAnsi="华文楷体" w:eastAsia="华文楷体" w:cs="华文楷体"/>
                <w:sz w:val="20"/>
              </w:rPr>
              <w:t>昆明医科大学第二附属医院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交货</w:t>
            </w:r>
          </w:p>
        </w:tc>
        <w:tc>
          <w:tcPr>
            <w:tcW w:w="6787"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交货期：合同签订后30天内（无需签订合同则中标结果公示期满后30天内）。</w:t>
            </w:r>
          </w:p>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交货地点：</w:t>
            </w:r>
            <w:r>
              <w:rPr>
                <w:rFonts w:hint="eastAsia" w:ascii="华文楷体" w:hAnsi="华文楷体" w:eastAsia="华文楷体" w:cs="华文楷体"/>
                <w:sz w:val="20"/>
                <w:u w:val="single"/>
              </w:rPr>
              <w:t>昆明医科大学第二附属医院用户指定地点</w:t>
            </w:r>
            <w:r>
              <w:rPr>
                <w:rFonts w:hint="eastAsia" w:ascii="华文楷体" w:hAnsi="华文楷体" w:eastAsia="华文楷体" w:cs="华文楷体"/>
                <w:sz w:val="20"/>
              </w:rPr>
              <w:t>。</w:t>
            </w:r>
          </w:p>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交货方式：安装验收完成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autoSpaceDE w:val="0"/>
              <w:autoSpaceDN w:val="0"/>
              <w:snapToGrid w:val="0"/>
              <w:spacing w:line="300" w:lineRule="exact"/>
              <w:textAlignment w:val="bottom"/>
              <w:rPr>
                <w:rFonts w:ascii="华文楷体" w:hAnsi="华文楷体" w:eastAsia="华文楷体" w:cs="华文楷体"/>
                <w:sz w:val="20"/>
                <w:szCs w:val="20"/>
              </w:rPr>
            </w:pPr>
            <w:r>
              <w:rPr>
                <w:rFonts w:hint="eastAsia" w:ascii="华文楷体" w:hAnsi="华文楷体" w:eastAsia="华文楷体" w:cs="华文楷体"/>
                <w:sz w:val="20"/>
                <w:szCs w:val="20"/>
              </w:rPr>
              <w:t>纳税证明材料的时间范围</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
                <w:sz w:val="20"/>
                <w:szCs w:val="20"/>
              </w:rPr>
            </w:pPr>
            <w:r>
              <w:rPr>
                <w:rFonts w:hint="eastAsia" w:ascii="华文楷体" w:hAnsi="华文楷体" w:eastAsia="华文楷体" w:cs="华文楷体"/>
                <w:b/>
                <w:sz w:val="20"/>
                <w:szCs w:val="20"/>
              </w:rPr>
              <w:t>缴税所属时间在202</w:t>
            </w:r>
            <w:r>
              <w:rPr>
                <w:rFonts w:hint="eastAsia" w:ascii="华文楷体" w:hAnsi="华文楷体" w:eastAsia="华文楷体" w:cs="华文楷体"/>
                <w:b/>
                <w:sz w:val="20"/>
                <w:szCs w:val="20"/>
                <w:lang w:val="en-US" w:eastAsia="zh-CN"/>
              </w:rPr>
              <w:t>4</w:t>
            </w:r>
            <w:r>
              <w:rPr>
                <w:rFonts w:hint="eastAsia" w:ascii="华文楷体" w:hAnsi="华文楷体" w:eastAsia="华文楷体" w:cs="华文楷体"/>
                <w:b/>
                <w:sz w:val="20"/>
                <w:szCs w:val="20"/>
              </w:rPr>
              <w:t>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月至投标截止日期前任意2个月的税务局税收通用缴款书扫描件或银行电子缴税（费）凭证扫描件或税务局出具纳税情况的相关证明扫描件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缴纳社会保险证明材料的时间范围</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
                <w:sz w:val="20"/>
                <w:szCs w:val="20"/>
              </w:rPr>
            </w:pPr>
            <w:r>
              <w:rPr>
                <w:rFonts w:hint="eastAsia" w:ascii="华文楷体" w:hAnsi="华文楷体" w:eastAsia="华文楷体" w:cs="华文楷体"/>
                <w:b/>
                <w:sz w:val="20"/>
                <w:szCs w:val="20"/>
              </w:rPr>
              <w:t>缴费所属时间在202</w:t>
            </w:r>
            <w:r>
              <w:rPr>
                <w:rFonts w:hint="eastAsia" w:ascii="华文楷体" w:hAnsi="华文楷体" w:eastAsia="华文楷体" w:cs="华文楷体"/>
                <w:b/>
                <w:sz w:val="20"/>
                <w:szCs w:val="20"/>
                <w:lang w:val="en-US" w:eastAsia="zh-CN"/>
              </w:rPr>
              <w:t>4</w:t>
            </w:r>
            <w:r>
              <w:rPr>
                <w:rFonts w:hint="eastAsia" w:ascii="华文楷体" w:hAnsi="华文楷体" w:eastAsia="华文楷体" w:cs="华文楷体"/>
                <w:b/>
                <w:sz w:val="20"/>
                <w:szCs w:val="20"/>
              </w:rPr>
              <w:t>年</w:t>
            </w:r>
            <w:r>
              <w:rPr>
                <w:rFonts w:hint="eastAsia" w:ascii="华文楷体" w:hAnsi="华文楷体" w:eastAsia="华文楷体" w:cs="华文楷体"/>
                <w:b/>
                <w:sz w:val="20"/>
                <w:szCs w:val="20"/>
                <w:u w:val="single"/>
              </w:rPr>
              <w:t>1</w:t>
            </w:r>
            <w:r>
              <w:rPr>
                <w:rFonts w:hint="eastAsia" w:ascii="华文楷体" w:hAnsi="华文楷体" w:eastAsia="华文楷体" w:cs="华文楷体"/>
                <w:b/>
                <w:sz w:val="20"/>
                <w:szCs w:val="20"/>
              </w:rPr>
              <w:t>月至投标截止日期前任意2个月的社会保险费缴款书扫描件或银行电子缴税（费）凭证扫描件或社保管理部门出具的有效的缴款证明扫描件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采购人根据采购项目的特殊要求规定的特定条件</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sz w:val="20"/>
                <w:szCs w:val="20"/>
              </w:rPr>
            </w:pPr>
            <w:r>
              <w:rPr>
                <w:rFonts w:hint="eastAsia" w:ascii="华文楷体" w:hAnsi="华文楷体" w:eastAsia="华文楷体" w:cs="华文楷体"/>
                <w:sz w:val="20"/>
                <w:szCs w:val="20"/>
              </w:rPr>
              <w:t>见第一章“公开招标公告”，第六章资格评审标准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★是否接受联合体投标</w:t>
            </w:r>
          </w:p>
        </w:tc>
        <w:tc>
          <w:tcPr>
            <w:tcW w:w="6787" w:type="dxa"/>
            <w:vAlign w:val="center"/>
          </w:tcPr>
          <w:p>
            <w:pPr>
              <w:pStyle w:val="7"/>
              <w:spacing w:line="300" w:lineRule="exact"/>
              <w:jc w:val="left"/>
              <w:rPr>
                <w:rFonts w:ascii="华文楷体" w:hAnsi="华文楷体" w:eastAsia="华文楷体" w:cs="华文楷体"/>
                <w:sz w:val="20"/>
              </w:rPr>
            </w:pPr>
            <w:r>
              <w:rPr>
                <w:rFonts w:hint="eastAsia" w:ascii="华文楷体" w:hAnsi="华文楷体" w:eastAsia="华文楷体" w:cs="华文楷体"/>
                <w:sz w:val="20"/>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★本项目预算金额、最高限价</w:t>
            </w:r>
          </w:p>
        </w:tc>
        <w:tc>
          <w:tcPr>
            <w:tcW w:w="6787" w:type="dxa"/>
            <w:vAlign w:val="center"/>
          </w:tcPr>
          <w:p>
            <w:pPr>
              <w:autoSpaceDE w:val="0"/>
              <w:autoSpaceDN w:val="0"/>
              <w:snapToGrid w:val="0"/>
              <w:spacing w:line="300" w:lineRule="exact"/>
              <w:textAlignment w:val="bottom"/>
              <w:rPr>
                <w:rFonts w:ascii="华文楷体" w:hAnsi="华文楷体" w:eastAsia="华文楷体" w:cs="华文楷体"/>
                <w:bCs/>
                <w:sz w:val="20"/>
                <w:szCs w:val="20"/>
              </w:rPr>
            </w:pPr>
            <w:r>
              <w:rPr>
                <w:rFonts w:hint="eastAsia" w:ascii="华文楷体" w:hAnsi="华文楷体" w:eastAsia="华文楷体" w:cs="华文楷体"/>
                <w:sz w:val="20"/>
                <w:szCs w:val="20"/>
              </w:rPr>
              <w:t>见第一章“公开招标公告”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备品备件</w:t>
            </w:r>
          </w:p>
        </w:tc>
        <w:tc>
          <w:tcPr>
            <w:tcW w:w="6787"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本次招标（■要求 □不要求）提供所需的备品备件。设备验收开始使用后至保质期内正常、连续地使用所必须的备品备件，计入投标价中。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021"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技术服务费</w:t>
            </w:r>
          </w:p>
        </w:tc>
        <w:tc>
          <w:tcPr>
            <w:tcW w:w="6787" w:type="dxa"/>
            <w:vAlign w:val="center"/>
          </w:tcPr>
          <w:p>
            <w:pPr>
              <w:spacing w:line="300" w:lineRule="exact"/>
              <w:jc w:val="left"/>
              <w:rPr>
                <w:rFonts w:ascii="华文楷体" w:hAnsi="华文楷体" w:eastAsia="华文楷体" w:cs="华文楷体"/>
                <w:sz w:val="20"/>
                <w:szCs w:val="20"/>
              </w:rPr>
            </w:pPr>
            <w:r>
              <w:rPr>
                <w:rFonts w:hint="eastAsia" w:ascii="华文楷体" w:hAnsi="华文楷体" w:eastAsia="华文楷体" w:cs="华文楷体"/>
                <w:sz w:val="20"/>
                <w:szCs w:val="20"/>
              </w:rPr>
              <w:t>提供现场服务（包括安装和调试费用），并按“技术要求”提供人员培训的费用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★投标文件有效期</w:t>
            </w:r>
          </w:p>
        </w:tc>
        <w:tc>
          <w:tcPr>
            <w:tcW w:w="6787"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从提交投标文件截止之日起</w:t>
            </w:r>
            <w:r>
              <w:rPr>
                <w:rFonts w:hint="eastAsia" w:ascii="华文楷体" w:hAnsi="华文楷体" w:eastAsia="华文楷体" w:cs="华文楷体"/>
                <w:sz w:val="20"/>
                <w:u w:val="single"/>
              </w:rPr>
              <w:t>90</w:t>
            </w:r>
            <w:r>
              <w:rPr>
                <w:rFonts w:hint="eastAsia" w:ascii="华文楷体" w:hAnsi="华文楷体" w:eastAsia="华文楷体" w:cs="华文楷体"/>
                <w:sz w:val="20"/>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分包</w:t>
            </w:r>
          </w:p>
        </w:tc>
        <w:tc>
          <w:tcPr>
            <w:tcW w:w="6787"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■本项目不得分包。</w:t>
            </w:r>
          </w:p>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□本项目中，</w:t>
            </w:r>
            <w:r>
              <w:rPr>
                <w:rFonts w:hint="eastAsia" w:ascii="华文楷体" w:hAnsi="华文楷体" w:eastAsia="华文楷体" w:cs="华文楷体"/>
                <w:sz w:val="20"/>
                <w:u w:val="single"/>
              </w:rPr>
              <w:t xml:space="preserve">            </w:t>
            </w:r>
            <w:r>
              <w:rPr>
                <w:rFonts w:hint="eastAsia" w:ascii="华文楷体" w:hAnsi="华文楷体" w:eastAsia="华文楷体" w:cs="华文楷体"/>
                <w:sz w:val="20"/>
              </w:rPr>
              <w:t>可以分包。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提交投标文件截止时间</w:t>
            </w:r>
          </w:p>
        </w:tc>
        <w:tc>
          <w:tcPr>
            <w:tcW w:w="6787" w:type="dxa"/>
            <w:vAlign w:val="center"/>
          </w:tcPr>
          <w:p>
            <w:pPr>
              <w:pStyle w:val="7"/>
              <w:spacing w:line="300" w:lineRule="exact"/>
              <w:ind w:left="662" w:hanging="662" w:hangingChars="331"/>
              <w:rPr>
                <w:rFonts w:ascii="华文楷体" w:hAnsi="华文楷体" w:eastAsia="华文楷体" w:cs="华文楷体"/>
                <w:b/>
                <w:sz w:val="20"/>
              </w:rPr>
            </w:pPr>
            <w:r>
              <w:rPr>
                <w:rFonts w:hint="eastAsia" w:ascii="华文楷体" w:hAnsi="华文楷体" w:eastAsia="华文楷体" w:cs="华文楷体"/>
                <w:sz w:val="20"/>
              </w:rPr>
              <w:t>见第一章“公开招标公告”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投标文件份数</w:t>
            </w:r>
          </w:p>
        </w:tc>
        <w:tc>
          <w:tcPr>
            <w:tcW w:w="6787" w:type="dxa"/>
            <w:vAlign w:val="center"/>
          </w:tcPr>
          <w:p>
            <w:pPr>
              <w:pStyle w:val="7"/>
              <w:spacing w:line="300" w:lineRule="exact"/>
              <w:ind w:left="662" w:hanging="662" w:hangingChars="331"/>
              <w:rPr>
                <w:rFonts w:ascii="华文楷体" w:hAnsi="华文楷体" w:eastAsia="华文楷体" w:cs="华文楷体"/>
                <w:sz w:val="20"/>
              </w:rPr>
            </w:pPr>
            <w:r>
              <w:rPr>
                <w:rFonts w:hint="eastAsia" w:ascii="华文楷体" w:hAnsi="华文楷体" w:eastAsia="华文楷体" w:cs="华文楷体"/>
                <w:sz w:val="20"/>
              </w:rPr>
              <w:t>一式三份，一正二副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开标时间和地点</w:t>
            </w:r>
          </w:p>
        </w:tc>
        <w:tc>
          <w:tcPr>
            <w:tcW w:w="6787"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见第一章“公开招标公告”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评标方法</w:t>
            </w:r>
          </w:p>
        </w:tc>
        <w:tc>
          <w:tcPr>
            <w:tcW w:w="6787" w:type="dxa"/>
            <w:vAlign w:val="center"/>
          </w:tcPr>
          <w:p>
            <w:pPr>
              <w:spacing w:line="300" w:lineRule="exact"/>
              <w:rPr>
                <w:rFonts w:ascii="华文楷体" w:hAnsi="华文楷体" w:eastAsia="华文楷体" w:cs="华文楷体"/>
                <w:sz w:val="20"/>
                <w:szCs w:val="20"/>
              </w:rPr>
            </w:pPr>
            <w:r>
              <w:rPr>
                <w:rFonts w:hint="eastAsia" w:ascii="华文楷体" w:hAnsi="华文楷体" w:eastAsia="华文楷体" w:cs="华文楷体"/>
                <w:sz w:val="20"/>
                <w:szCs w:val="20"/>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021"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备选方案</w:t>
            </w:r>
          </w:p>
        </w:tc>
        <w:tc>
          <w:tcPr>
            <w:tcW w:w="6787" w:type="dxa"/>
            <w:vAlign w:val="center"/>
          </w:tcPr>
          <w:p>
            <w:pPr>
              <w:pStyle w:val="7"/>
              <w:spacing w:line="300" w:lineRule="exact"/>
              <w:rPr>
                <w:rFonts w:ascii="华文楷体" w:hAnsi="华文楷体" w:eastAsia="华文楷体" w:cs="华文楷体"/>
                <w:sz w:val="20"/>
              </w:rPr>
            </w:pPr>
            <w:r>
              <w:rPr>
                <w:rFonts w:hint="eastAsia" w:ascii="华文楷体" w:hAnsi="华文楷体" w:eastAsia="华文楷体" w:cs="华文楷体"/>
                <w:sz w:val="20"/>
              </w:rPr>
              <w:t>不接受</w:t>
            </w:r>
          </w:p>
        </w:tc>
      </w:tr>
    </w:tbl>
    <w:p>
      <w:pPr>
        <w:rPr>
          <w:rFonts w:ascii="华文楷体" w:hAnsi="华文楷体" w:eastAsia="华文楷体" w:cs="华文楷体"/>
          <w:sz w:val="24"/>
        </w:rPr>
        <w:sectPr>
          <w:pgSz w:w="11906" w:h="16838"/>
          <w:pgMar w:top="1440" w:right="1800" w:bottom="1440" w:left="1800" w:header="851" w:footer="992" w:gutter="0"/>
          <w:cols w:space="425" w:num="1"/>
          <w:docGrid w:type="lines" w:linePitch="312" w:charSpace="0"/>
        </w:sectPr>
      </w:pPr>
    </w:p>
    <w:p>
      <w:pPr>
        <w:pStyle w:val="3"/>
        <w:rPr>
          <w:rFonts w:ascii="华文楷体" w:hAnsi="华文楷体" w:eastAsia="华文楷体" w:cs="华文楷体"/>
          <w:sz w:val="24"/>
        </w:rPr>
      </w:pPr>
      <w:bookmarkStart w:id="2" w:name="_Toc138771412"/>
      <w:r>
        <w:rPr>
          <w:rFonts w:hint="eastAsia" w:ascii="华文楷体" w:hAnsi="华文楷体" w:eastAsia="华文楷体" w:cs="华文楷体"/>
          <w:sz w:val="24"/>
        </w:rPr>
        <w:t>一、合格的投标人</w:t>
      </w:r>
      <w:bookmarkEnd w:id="2"/>
    </w:p>
    <w:p>
      <w:pPr>
        <w:spacing w:line="360" w:lineRule="auto"/>
        <w:rPr>
          <w:rFonts w:ascii="华文楷体" w:hAnsi="华文楷体" w:eastAsia="华文楷体" w:cs="华文楷体"/>
          <w:sz w:val="24"/>
        </w:rPr>
      </w:pPr>
      <w:r>
        <w:rPr>
          <w:rFonts w:ascii="华文楷体" w:hAnsi="华文楷体" w:eastAsia="华文楷体" w:cs="华文楷体"/>
          <w:sz w:val="24"/>
        </w:rPr>
        <w:t>1</w:t>
      </w:r>
      <w:r>
        <w:rPr>
          <w:rFonts w:hint="eastAsia" w:ascii="华文楷体" w:hAnsi="华文楷体" w:eastAsia="华文楷体" w:cs="华文楷体"/>
          <w:sz w:val="24"/>
        </w:rPr>
        <w:t xml:space="preserve"> </w:t>
      </w:r>
      <w:r>
        <w:rPr>
          <w:rFonts w:ascii="华文楷体" w:hAnsi="华文楷体" w:eastAsia="华文楷体" w:cs="华文楷体"/>
          <w:sz w:val="24"/>
        </w:rPr>
        <w:t>投标人应具备《中华人民共和国政府采购法》第二十二条规定的条件，并提供下列材料：</w:t>
      </w:r>
    </w:p>
    <w:p>
      <w:pPr>
        <w:spacing w:line="360" w:lineRule="auto"/>
        <w:rPr>
          <w:rFonts w:ascii="华文楷体" w:hAnsi="华文楷体" w:eastAsia="华文楷体" w:cs="华文楷体"/>
          <w:sz w:val="24"/>
        </w:rPr>
      </w:pPr>
      <w:r>
        <w:rPr>
          <w:rFonts w:ascii="华文楷体" w:hAnsi="华文楷体" w:eastAsia="华文楷体" w:cs="华文楷体"/>
          <w:sz w:val="24"/>
        </w:rPr>
        <w:t>1.1投标人必须具备独立承担民事责任的能力，提供法人或者其他组织的营业执照等证明文件；投标人是自然人的，提供自然人身份证明（扫描件加盖电子公章）；</w:t>
      </w:r>
    </w:p>
    <w:p>
      <w:pPr>
        <w:spacing w:line="360" w:lineRule="auto"/>
        <w:rPr>
          <w:rFonts w:ascii="华文楷体" w:hAnsi="华文楷体" w:eastAsia="华文楷体" w:cs="华文楷体"/>
          <w:sz w:val="24"/>
        </w:rPr>
      </w:pPr>
      <w:r>
        <w:rPr>
          <w:rFonts w:ascii="华文楷体" w:hAnsi="华文楷体" w:eastAsia="华文楷体" w:cs="华文楷体"/>
          <w:sz w:val="24"/>
        </w:rPr>
        <w:t>1.2投标人须提供</w:t>
      </w:r>
      <w:r>
        <w:rPr>
          <w:rFonts w:ascii="华文楷体" w:hAnsi="华文楷体" w:eastAsia="华文楷体" w:cs="华文楷体"/>
          <w:b/>
          <w:bCs/>
          <w:sz w:val="24"/>
        </w:rPr>
        <w:t>财务状况报告</w:t>
      </w:r>
      <w:r>
        <w:rPr>
          <w:rFonts w:ascii="华文楷体" w:hAnsi="华文楷体" w:eastAsia="华文楷体" w:cs="华文楷体"/>
          <w:sz w:val="24"/>
        </w:rPr>
        <w:t>，内容可为以下三者之一：</w:t>
      </w:r>
    </w:p>
    <w:p>
      <w:pPr>
        <w:spacing w:line="360" w:lineRule="auto"/>
        <w:rPr>
          <w:rFonts w:ascii="华文楷体" w:hAnsi="华文楷体" w:eastAsia="华文楷体" w:cs="华文楷体"/>
          <w:sz w:val="24"/>
        </w:rPr>
      </w:pPr>
      <w:r>
        <w:rPr>
          <w:rFonts w:ascii="华文楷体" w:hAnsi="华文楷体" w:eastAsia="华文楷体" w:cs="华文楷体"/>
          <w:sz w:val="24"/>
        </w:rPr>
        <w:t>1）近三个月内基本开户银行出具的资信证明（扫描件加盖电子公章）</w:t>
      </w:r>
    </w:p>
    <w:p>
      <w:pPr>
        <w:spacing w:line="360" w:lineRule="auto"/>
        <w:rPr>
          <w:rFonts w:ascii="华文楷体" w:hAnsi="华文楷体" w:eastAsia="华文楷体" w:cs="华文楷体"/>
          <w:sz w:val="24"/>
        </w:rPr>
      </w:pPr>
      <w:r>
        <w:rPr>
          <w:rFonts w:ascii="华文楷体" w:hAnsi="华文楷体" w:eastAsia="华文楷体" w:cs="华文楷体"/>
          <w:sz w:val="24"/>
        </w:rPr>
        <w:t>2）202</w:t>
      </w:r>
      <w:r>
        <w:rPr>
          <w:rFonts w:hint="eastAsia" w:ascii="华文楷体" w:hAnsi="华文楷体" w:eastAsia="华文楷体" w:cs="华文楷体"/>
          <w:sz w:val="24"/>
          <w:lang w:val="en-US" w:eastAsia="zh-CN"/>
        </w:rPr>
        <w:t>1</w:t>
      </w:r>
      <w:r>
        <w:rPr>
          <w:rFonts w:ascii="华文楷体" w:hAnsi="华文楷体" w:eastAsia="华文楷体" w:cs="华文楷体"/>
          <w:sz w:val="24"/>
        </w:rPr>
        <w:t>年-202</w:t>
      </w:r>
      <w:r>
        <w:rPr>
          <w:rFonts w:hint="eastAsia" w:ascii="华文楷体" w:hAnsi="华文楷体" w:eastAsia="华文楷体" w:cs="华文楷体"/>
          <w:sz w:val="24"/>
          <w:lang w:val="en-US" w:eastAsia="zh-CN"/>
        </w:rPr>
        <w:t>3</w:t>
      </w:r>
      <w:r>
        <w:rPr>
          <w:rFonts w:ascii="华文楷体" w:hAnsi="华文楷体" w:eastAsia="华文楷体" w:cs="华文楷体"/>
          <w:sz w:val="24"/>
        </w:rPr>
        <w:t>年任意一年度经审计的财务审计报告，包括“四表一注”，即资产负债表、利润表、现金流量表、所有者权益变动表及其附注（扫描件加盖电子公章）；</w:t>
      </w:r>
    </w:p>
    <w:p>
      <w:pPr>
        <w:spacing w:line="360" w:lineRule="auto"/>
        <w:rPr>
          <w:rFonts w:ascii="华文楷体" w:hAnsi="华文楷体" w:eastAsia="华文楷体" w:cs="华文楷体"/>
          <w:sz w:val="24"/>
        </w:rPr>
      </w:pPr>
      <w:r>
        <w:rPr>
          <w:rFonts w:ascii="华文楷体" w:hAnsi="华文楷体" w:eastAsia="华文楷体" w:cs="华文楷体"/>
          <w:sz w:val="24"/>
        </w:rPr>
        <w:t>3）财政部门认可的政府采购专业担保机构出具的投标担保函，须同时提供专业担保机构经财政部门认可的证明文件。</w:t>
      </w:r>
    </w:p>
    <w:p>
      <w:pPr>
        <w:spacing w:line="360" w:lineRule="auto"/>
        <w:rPr>
          <w:rFonts w:ascii="华文楷体" w:hAnsi="华文楷体" w:eastAsia="华文楷体" w:cs="华文楷体"/>
          <w:sz w:val="24"/>
        </w:rPr>
      </w:pPr>
      <w:r>
        <w:rPr>
          <w:rFonts w:ascii="华文楷体" w:hAnsi="华文楷体" w:eastAsia="华文楷体" w:cs="华文楷体"/>
          <w:sz w:val="24"/>
        </w:rPr>
        <w:t>1.3投标人提供近期内（具体月份详见“投标人须知前附表”）的</w:t>
      </w:r>
      <w:r>
        <w:rPr>
          <w:rFonts w:ascii="华文楷体" w:hAnsi="华文楷体" w:eastAsia="华文楷体" w:cs="华文楷体"/>
          <w:b/>
          <w:bCs/>
          <w:sz w:val="24"/>
        </w:rPr>
        <w:t>税务局税收通用缴款书扫描件或银行电子缴税（费）凭证扫描件或税务局出具纳税情况的相关证明</w:t>
      </w:r>
      <w:r>
        <w:rPr>
          <w:rFonts w:ascii="华文楷体" w:hAnsi="华文楷体" w:eastAsia="华文楷体" w:cs="华文楷体"/>
          <w:sz w:val="24"/>
        </w:rPr>
        <w:t>扫描件；依法免税的投标人，应提供相应文件证明其依法免税。</w:t>
      </w:r>
    </w:p>
    <w:p>
      <w:pPr>
        <w:spacing w:line="360" w:lineRule="auto"/>
        <w:rPr>
          <w:rFonts w:ascii="华文楷体" w:hAnsi="华文楷体" w:eastAsia="华文楷体" w:cs="华文楷体"/>
          <w:sz w:val="24"/>
        </w:rPr>
      </w:pPr>
      <w:r>
        <w:rPr>
          <w:rFonts w:ascii="华文楷体" w:hAnsi="华文楷体" w:eastAsia="华文楷体" w:cs="华文楷体"/>
          <w:sz w:val="24"/>
        </w:rPr>
        <w:t>1.4投标人提供近期内（具体月份详见“投标人须知前附表”）的</w:t>
      </w:r>
      <w:r>
        <w:rPr>
          <w:rFonts w:ascii="华文楷体" w:hAnsi="华文楷体" w:eastAsia="华文楷体" w:cs="华文楷体"/>
          <w:b/>
          <w:bCs/>
          <w:sz w:val="24"/>
        </w:rPr>
        <w:t>社会保险费缴款书扫描件或银行电子缴税（费）凭证扫描件或社保管理部门出具的有效的缴款证明扫描件</w:t>
      </w:r>
      <w:r>
        <w:rPr>
          <w:rFonts w:ascii="华文楷体" w:hAnsi="华文楷体" w:eastAsia="华文楷体" w:cs="华文楷体"/>
          <w:sz w:val="24"/>
        </w:rPr>
        <w:t>；依法不需要缴纳社会保障资金的投标人，应提供相应文件证明其依法不需要缴纳社会保障资金。</w:t>
      </w:r>
    </w:p>
    <w:p>
      <w:pPr>
        <w:spacing w:line="360" w:lineRule="auto"/>
        <w:rPr>
          <w:rFonts w:ascii="华文楷体" w:hAnsi="华文楷体" w:eastAsia="华文楷体" w:cs="华文楷体"/>
          <w:sz w:val="24"/>
        </w:rPr>
      </w:pPr>
      <w:r>
        <w:rPr>
          <w:rFonts w:ascii="华文楷体" w:hAnsi="华文楷体" w:eastAsia="华文楷体" w:cs="华文楷体"/>
          <w:sz w:val="24"/>
        </w:rPr>
        <w:t>1.5投标人须提供具备履行合同所必需的设备和专业技术能力的证明材料</w:t>
      </w:r>
      <w:r>
        <w:rPr>
          <w:rFonts w:hint="eastAsia" w:ascii="华文楷体" w:hAnsi="华文楷体" w:eastAsia="华文楷体" w:cs="华文楷体"/>
          <w:sz w:val="24"/>
        </w:rPr>
        <w:t>。</w:t>
      </w:r>
    </w:p>
    <w:p>
      <w:pPr>
        <w:spacing w:line="360" w:lineRule="auto"/>
        <w:rPr>
          <w:rFonts w:ascii="华文楷体" w:hAnsi="华文楷体" w:eastAsia="华文楷体" w:cs="华文楷体"/>
          <w:sz w:val="24"/>
        </w:rPr>
      </w:pPr>
      <w:r>
        <w:rPr>
          <w:rFonts w:ascii="华文楷体" w:hAnsi="华文楷体" w:eastAsia="华文楷体" w:cs="华文楷体"/>
          <w:sz w:val="24"/>
        </w:rPr>
        <w:t>1.6投标人必须提供参加政府采购活动前3年内在经营活动中没有重大违法记录的书面声明（重大违法记录，是指供应商因违法经营受到刑事处罚或者责令停产停业、吊销许可证或者执照、较大数额罚款等行政处罚）</w:t>
      </w:r>
      <w:r>
        <w:rPr>
          <w:rFonts w:hint="eastAsia" w:ascii="华文楷体" w:hAnsi="华文楷体" w:eastAsia="华文楷体" w:cs="华文楷体"/>
          <w:sz w:val="24"/>
        </w:rPr>
        <w:t>。</w:t>
      </w:r>
    </w:p>
    <w:p>
      <w:pPr>
        <w:spacing w:line="360" w:lineRule="auto"/>
        <w:rPr>
          <w:rFonts w:ascii="华文楷体" w:hAnsi="华文楷体" w:eastAsia="华文楷体" w:cs="华文楷体"/>
          <w:sz w:val="24"/>
        </w:rPr>
      </w:pPr>
      <w:r>
        <w:rPr>
          <w:rFonts w:ascii="华文楷体" w:hAnsi="华文楷体" w:eastAsia="华文楷体" w:cs="华文楷体"/>
          <w:sz w:val="24"/>
        </w:rPr>
        <w:t>2 投标人应符合采购人根据采购项目的特殊要求规定的特定条件。特定条件见</w:t>
      </w:r>
      <w:r>
        <w:rPr>
          <w:rFonts w:hint="eastAsia" w:ascii="华文楷体" w:hAnsi="华文楷体" w:eastAsia="华文楷体" w:cs="华文楷体"/>
          <w:sz w:val="24"/>
        </w:rPr>
        <w:t>公告文件</w:t>
      </w:r>
      <w:r>
        <w:rPr>
          <w:rFonts w:ascii="华文楷体" w:hAnsi="华文楷体" w:eastAsia="华文楷体" w:cs="华文楷体"/>
          <w:sz w:val="24"/>
        </w:rPr>
        <w:t>。</w:t>
      </w:r>
    </w:p>
    <w:p>
      <w:pPr>
        <w:spacing w:line="360" w:lineRule="auto"/>
        <w:rPr>
          <w:rFonts w:ascii="华文楷体" w:hAnsi="华文楷体" w:eastAsia="华文楷体" w:cs="华文楷体"/>
          <w:bCs/>
          <w:sz w:val="24"/>
        </w:rPr>
      </w:pPr>
      <w:r>
        <w:rPr>
          <w:rFonts w:ascii="华文楷体" w:hAnsi="华文楷体" w:eastAsia="华文楷体" w:cs="华文楷体"/>
          <w:bCs/>
          <w:sz w:val="24"/>
        </w:rPr>
        <w:t>3单位负责人为同一人或者存在直接控股、管理关系的不同投标人，不得参加同一招标项目包的政府采购活动。</w:t>
      </w:r>
    </w:p>
    <w:p>
      <w:pPr>
        <w:spacing w:line="360" w:lineRule="auto"/>
        <w:rPr>
          <w:rFonts w:ascii="华文楷体" w:hAnsi="华文楷体" w:eastAsia="华文楷体" w:cs="华文楷体"/>
          <w:sz w:val="24"/>
        </w:rPr>
      </w:pPr>
      <w:r>
        <w:rPr>
          <w:rFonts w:ascii="华文楷体" w:hAnsi="华文楷体" w:eastAsia="华文楷体" w:cs="华文楷体"/>
          <w:sz w:val="24"/>
        </w:rPr>
        <w:t>4投标人在本项目投标截止时间前未被列入“信用中国”网站（www.creditchina.gov.cn）失信被执行人、重大税收违法案件当事人名单、政府采购严重违法失信行为记录名单及中国政府采购网（www.ccgp.gov.cn）“政府采购严重违法失信行为信息记录名单”</w:t>
      </w:r>
      <w:r>
        <w:rPr>
          <w:rFonts w:hint="eastAsia" w:ascii="华文楷体" w:hAnsi="华文楷体" w:eastAsia="华文楷体" w:cs="华文楷体"/>
          <w:sz w:val="24"/>
        </w:rPr>
        <w:t>。</w:t>
      </w:r>
    </w:p>
    <w:p>
      <w:pPr>
        <w:spacing w:line="360" w:lineRule="auto"/>
        <w:rPr>
          <w:rFonts w:ascii="华文楷体" w:hAnsi="华文楷体" w:eastAsia="华文楷体" w:cs="华文楷体"/>
          <w:b/>
          <w:bCs/>
          <w:sz w:val="24"/>
        </w:rPr>
      </w:pPr>
      <w:r>
        <w:rPr>
          <w:rFonts w:hint="eastAsia" w:ascii="华文楷体" w:hAnsi="华文楷体" w:eastAsia="华文楷体" w:cs="华文楷体"/>
          <w:sz w:val="24"/>
        </w:rPr>
        <w:t>5</w:t>
      </w:r>
      <w:r>
        <w:rPr>
          <w:rFonts w:hint="eastAsia" w:ascii="华文楷体" w:hAnsi="华文楷体" w:eastAsia="华文楷体" w:cs="华文楷体"/>
          <w:b/>
          <w:bCs/>
          <w:sz w:val="24"/>
        </w:rPr>
        <w:t>所投产品为进口货物的，需提供制造商出具的授权书或总代理商出具的授权书及售后服务承诺函(不接受二级以下授权，如果授权是二级的，必须提供上一级别的授权)。</w:t>
      </w:r>
    </w:p>
    <w:p>
      <w:pPr>
        <w:spacing w:line="360" w:lineRule="auto"/>
        <w:rPr>
          <w:rFonts w:ascii="华文楷体" w:hAnsi="华文楷体" w:eastAsia="华文楷体" w:cs="华文楷体"/>
          <w:sz w:val="24"/>
        </w:rPr>
      </w:pPr>
      <w:r>
        <w:rPr>
          <w:rFonts w:ascii="华文楷体" w:hAnsi="华文楷体" w:eastAsia="华文楷体" w:cs="华文楷体"/>
          <w:sz w:val="24"/>
        </w:rPr>
        <w:t>6投标费用</w:t>
      </w:r>
    </w:p>
    <w:p>
      <w:pPr>
        <w:spacing w:line="360" w:lineRule="auto"/>
        <w:rPr>
          <w:rFonts w:ascii="华文楷体" w:hAnsi="华文楷体" w:eastAsia="华文楷体" w:cs="华文楷体"/>
          <w:sz w:val="24"/>
        </w:rPr>
      </w:pPr>
      <w:r>
        <w:rPr>
          <w:rFonts w:ascii="华文楷体" w:hAnsi="华文楷体" w:eastAsia="华文楷体" w:cs="华文楷体"/>
          <w:sz w:val="24"/>
        </w:rPr>
        <w:t>6.1不论投标结果如何，投标人均应自行承担所有与准备和参加投标活动有关的全部费用。</w:t>
      </w:r>
    </w:p>
    <w:p>
      <w:pPr>
        <w:spacing w:line="360" w:lineRule="auto"/>
        <w:rPr>
          <w:rFonts w:ascii="华文楷体" w:hAnsi="华文楷体" w:eastAsia="华文楷体" w:cs="华文楷体"/>
          <w:sz w:val="24"/>
        </w:rPr>
      </w:pPr>
      <w:r>
        <w:rPr>
          <w:rFonts w:ascii="华文楷体" w:hAnsi="华文楷体" w:eastAsia="华文楷体" w:cs="华文楷体"/>
          <w:sz w:val="24"/>
        </w:rPr>
        <w:t>7.质疑</w:t>
      </w:r>
    </w:p>
    <w:p>
      <w:pPr>
        <w:spacing w:line="360" w:lineRule="auto"/>
        <w:rPr>
          <w:rFonts w:ascii="华文楷体" w:hAnsi="华文楷体" w:eastAsia="华文楷体" w:cs="华文楷体"/>
          <w:sz w:val="24"/>
        </w:rPr>
      </w:pPr>
      <w:r>
        <w:rPr>
          <w:rFonts w:ascii="华文楷体" w:hAnsi="华文楷体" w:eastAsia="华文楷体" w:cs="华文楷体"/>
          <w:sz w:val="24"/>
        </w:rPr>
        <w:t>7.1 投标人认为招标文件、招标过程和中标结果使自己的权益受到损害的，应当在知道或者应知其权益受到损害之日起7个工作日内，以书面形式向</w:t>
      </w:r>
      <w:r>
        <w:rPr>
          <w:rFonts w:hint="eastAsia" w:ascii="华文楷体" w:hAnsi="华文楷体" w:eastAsia="华文楷体" w:cs="华文楷体"/>
          <w:sz w:val="24"/>
        </w:rPr>
        <w:t>医院</w:t>
      </w:r>
      <w:r>
        <w:rPr>
          <w:rFonts w:ascii="华文楷体" w:hAnsi="华文楷体" w:eastAsia="华文楷体" w:cs="华文楷体"/>
          <w:sz w:val="24"/>
        </w:rPr>
        <w:t>一次性提出针对同一采购程序环节的质疑。质疑内容不得含有虚假、恶意成分。当事人对自己提出的主张，有责任提供证据，提出质疑时应同时提交相关证据材料和注明事实的确切来源。</w:t>
      </w:r>
    </w:p>
    <w:p>
      <w:pPr>
        <w:spacing w:line="360" w:lineRule="auto"/>
        <w:rPr>
          <w:rFonts w:ascii="华文楷体" w:hAnsi="华文楷体" w:eastAsia="华文楷体" w:cs="华文楷体"/>
          <w:sz w:val="24"/>
        </w:rPr>
      </w:pPr>
      <w:r>
        <w:rPr>
          <w:rFonts w:ascii="华文楷体" w:hAnsi="华文楷体" w:eastAsia="华文楷体" w:cs="华文楷体"/>
          <w:sz w:val="24"/>
        </w:rPr>
        <w:t>7.2供应商应知其权益受到损害之日，是指：</w:t>
      </w:r>
    </w:p>
    <w:p>
      <w:pPr>
        <w:spacing w:line="360" w:lineRule="auto"/>
        <w:rPr>
          <w:rFonts w:ascii="华文楷体" w:hAnsi="华文楷体" w:eastAsia="华文楷体" w:cs="华文楷体"/>
          <w:sz w:val="24"/>
        </w:rPr>
      </w:pPr>
      <w:r>
        <w:rPr>
          <w:rFonts w:ascii="华文楷体" w:hAnsi="华文楷体" w:eastAsia="华文楷体" w:cs="华文楷体"/>
          <w:sz w:val="24"/>
        </w:rPr>
        <w:t>（1）对可以质疑的招标文件提出质疑的，为投标人在</w:t>
      </w:r>
      <w:r>
        <w:rPr>
          <w:rFonts w:hint="eastAsia" w:ascii="华文楷体" w:hAnsi="华文楷体" w:eastAsia="华文楷体" w:cs="华文楷体"/>
          <w:sz w:val="24"/>
        </w:rPr>
        <w:t>昆明医科大学第二附属医院官方网站</w:t>
      </w:r>
      <w:r>
        <w:rPr>
          <w:rFonts w:ascii="华文楷体" w:hAnsi="华文楷体" w:eastAsia="华文楷体" w:cs="华文楷体"/>
          <w:sz w:val="24"/>
        </w:rPr>
        <w:t>获取采购文件之日；</w:t>
      </w:r>
    </w:p>
    <w:p>
      <w:pPr>
        <w:spacing w:line="360" w:lineRule="auto"/>
        <w:rPr>
          <w:rFonts w:ascii="华文楷体" w:hAnsi="华文楷体" w:eastAsia="华文楷体" w:cs="华文楷体"/>
          <w:sz w:val="24"/>
        </w:rPr>
      </w:pPr>
      <w:r>
        <w:rPr>
          <w:rFonts w:ascii="华文楷体" w:hAnsi="华文楷体" w:eastAsia="华文楷体" w:cs="华文楷体"/>
          <w:sz w:val="24"/>
        </w:rPr>
        <w:t>（2）对采购过程提出质疑的，为各采购程序环节结束之日；</w:t>
      </w:r>
    </w:p>
    <w:p>
      <w:pPr>
        <w:spacing w:line="360" w:lineRule="auto"/>
        <w:rPr>
          <w:rFonts w:ascii="华文楷体" w:hAnsi="华文楷体" w:eastAsia="华文楷体" w:cs="华文楷体"/>
          <w:sz w:val="24"/>
        </w:rPr>
      </w:pPr>
      <w:r>
        <w:rPr>
          <w:rFonts w:ascii="华文楷体" w:hAnsi="华文楷体" w:eastAsia="华文楷体" w:cs="华文楷体"/>
          <w:sz w:val="24"/>
        </w:rPr>
        <w:t>（3）对中标结果提出质疑的，为中标结果公告期限届满之日。</w:t>
      </w:r>
    </w:p>
    <w:p>
      <w:pPr>
        <w:pStyle w:val="3"/>
        <w:rPr>
          <w:rFonts w:ascii="华文楷体" w:hAnsi="华文楷体" w:eastAsia="华文楷体" w:cs="华文楷体"/>
          <w:sz w:val="24"/>
        </w:rPr>
      </w:pPr>
      <w:bookmarkStart w:id="3" w:name="_Toc138771413"/>
      <w:r>
        <w:rPr>
          <w:rFonts w:hint="eastAsia" w:ascii="华文楷体" w:hAnsi="华文楷体" w:eastAsia="华文楷体" w:cs="华文楷体"/>
          <w:sz w:val="24"/>
        </w:rPr>
        <w:t>二、招标文件</w:t>
      </w:r>
      <w:bookmarkEnd w:id="3"/>
    </w:p>
    <w:p>
      <w:pPr>
        <w:spacing w:line="360" w:lineRule="auto"/>
        <w:outlineLvl w:val="2"/>
        <w:rPr>
          <w:rFonts w:ascii="华文楷体" w:hAnsi="华文楷体" w:eastAsia="华文楷体" w:cs="华文楷体"/>
          <w:sz w:val="24"/>
        </w:rPr>
      </w:pPr>
      <w:bookmarkStart w:id="4" w:name="_Toc138771414"/>
      <w:r>
        <w:rPr>
          <w:rFonts w:hint="eastAsia" w:ascii="华文楷体" w:hAnsi="华文楷体" w:eastAsia="华文楷体" w:cs="华文楷体"/>
          <w:sz w:val="24"/>
        </w:rPr>
        <w:t>1 招标文件构成</w:t>
      </w:r>
      <w:bookmarkEnd w:id="4"/>
    </w:p>
    <w:p>
      <w:pPr>
        <w:spacing w:line="360" w:lineRule="auto"/>
        <w:rPr>
          <w:rFonts w:ascii="华文楷体" w:hAnsi="华文楷体" w:eastAsia="华文楷体" w:cs="华文楷体"/>
          <w:sz w:val="24"/>
        </w:rPr>
      </w:pPr>
      <w:r>
        <w:rPr>
          <w:rFonts w:hint="eastAsia" w:ascii="华文楷体" w:hAnsi="华文楷体" w:eastAsia="华文楷体" w:cs="华文楷体"/>
          <w:sz w:val="24"/>
        </w:rPr>
        <w:t>要求提供的货物、采购过程及合同条款在招标文件中均有说明，招标文件共七章，各章的内容如下：</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第一章  公开招标公告</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第二章  投标人须知</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第三章  合同书样式及主要条款</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w:t>
      </w:r>
      <w:r>
        <w:rPr>
          <w:rFonts w:hint="eastAsia" w:ascii="华文楷体" w:hAnsi="华文楷体" w:eastAsia="华文楷体" w:cs="华文楷体"/>
          <w:sz w:val="24"/>
          <w:lang w:eastAsia="zh-CN"/>
        </w:rPr>
        <w:t>四</w:t>
      </w:r>
      <w:r>
        <w:rPr>
          <w:rFonts w:hint="eastAsia" w:ascii="华文楷体" w:hAnsi="华文楷体" w:eastAsia="华文楷体" w:cs="华文楷体"/>
          <w:sz w:val="24"/>
        </w:rPr>
        <w:t>章  项目需求及技术要求（附件）</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w:t>
      </w:r>
      <w:r>
        <w:rPr>
          <w:rFonts w:hint="eastAsia" w:ascii="华文楷体" w:hAnsi="华文楷体" w:eastAsia="华文楷体" w:cs="华文楷体"/>
          <w:sz w:val="24"/>
          <w:lang w:eastAsia="zh-CN"/>
        </w:rPr>
        <w:t>五</w:t>
      </w:r>
      <w:r>
        <w:rPr>
          <w:rFonts w:hint="eastAsia" w:ascii="华文楷体" w:hAnsi="华文楷体" w:eastAsia="华文楷体" w:cs="华文楷体"/>
          <w:sz w:val="24"/>
        </w:rPr>
        <w:t>章  资格评审标准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第</w:t>
      </w:r>
      <w:r>
        <w:rPr>
          <w:rFonts w:hint="eastAsia" w:ascii="华文楷体" w:hAnsi="华文楷体" w:eastAsia="华文楷体" w:cs="华文楷体"/>
          <w:sz w:val="24"/>
          <w:lang w:eastAsia="zh-CN"/>
        </w:rPr>
        <w:t>六</w:t>
      </w:r>
      <w:r>
        <w:rPr>
          <w:rFonts w:hint="eastAsia" w:ascii="华文楷体" w:hAnsi="华文楷体" w:eastAsia="华文楷体" w:cs="华文楷体"/>
          <w:sz w:val="24"/>
        </w:rPr>
        <w:t>章  评标方法</w:t>
      </w:r>
    </w:p>
    <w:p>
      <w:pPr>
        <w:spacing w:line="360" w:lineRule="auto"/>
        <w:outlineLvl w:val="2"/>
        <w:rPr>
          <w:rFonts w:ascii="华文楷体" w:hAnsi="华文楷体" w:eastAsia="华文楷体" w:cs="华文楷体"/>
          <w:sz w:val="24"/>
        </w:rPr>
      </w:pPr>
      <w:bookmarkStart w:id="5" w:name="_Toc138771415"/>
      <w:r>
        <w:rPr>
          <w:rFonts w:hint="eastAsia" w:ascii="华文楷体" w:hAnsi="华文楷体" w:eastAsia="华文楷体" w:cs="华文楷体"/>
          <w:sz w:val="24"/>
        </w:rPr>
        <w:t>2 招标文件的澄清或者修改</w:t>
      </w:r>
      <w:bookmarkEnd w:id="5"/>
    </w:p>
    <w:p>
      <w:pPr>
        <w:spacing w:line="360" w:lineRule="auto"/>
        <w:rPr>
          <w:rFonts w:ascii="华文楷体" w:hAnsi="华文楷体" w:eastAsia="华文楷体" w:cs="华文楷体"/>
          <w:sz w:val="24"/>
        </w:rPr>
      </w:pPr>
      <w:r>
        <w:rPr>
          <w:rFonts w:hint="eastAsia" w:ascii="华文楷体" w:hAnsi="华文楷体" w:eastAsia="华文楷体" w:cs="华文楷体"/>
          <w:sz w:val="24"/>
        </w:rPr>
        <w:t>在投标截止时间前，无论出于何种原因，采购人可主动地或在解答投标人提出的澄清问题时对招标文件进行修改，澄清和修改均为招标文件的组成部分，当所发出的招标文件澄清或修改不一致时，以最后发出的为准。采购人在投标截止时间前对招标文件所作的补充、修改或者更正、澄清一并构成招标文件的组成部分。招标文件的修改将以书面形式或网上公告并通知所有报名的投标人，并对其具有约束力。为使投标人编写投标文件时有充分时间对招标文件的修改部分进行研究，采购人可以自行酌情延长投标截止时间，并将此变更通知所有报名的投标人。</w:t>
      </w:r>
    </w:p>
    <w:p>
      <w:pPr>
        <w:pStyle w:val="3"/>
        <w:rPr>
          <w:rFonts w:ascii="华文楷体" w:hAnsi="华文楷体" w:eastAsia="华文楷体" w:cs="华文楷体"/>
          <w:sz w:val="24"/>
        </w:rPr>
      </w:pPr>
      <w:bookmarkStart w:id="6" w:name="_Toc138771416"/>
      <w:r>
        <w:rPr>
          <w:rFonts w:hint="eastAsia" w:ascii="华文楷体" w:hAnsi="华文楷体" w:eastAsia="华文楷体" w:cs="华文楷体"/>
          <w:sz w:val="24"/>
        </w:rPr>
        <w:t>三、投标文件</w:t>
      </w:r>
      <w:bookmarkEnd w:id="6"/>
    </w:p>
    <w:p>
      <w:pPr>
        <w:spacing w:line="360" w:lineRule="auto"/>
        <w:outlineLvl w:val="2"/>
        <w:rPr>
          <w:rFonts w:ascii="华文楷体" w:hAnsi="华文楷体" w:eastAsia="华文楷体" w:cs="华文楷体"/>
          <w:sz w:val="24"/>
        </w:rPr>
      </w:pPr>
      <w:bookmarkStart w:id="7" w:name="_Toc138771417"/>
      <w:r>
        <w:rPr>
          <w:rFonts w:hint="eastAsia" w:ascii="华文楷体" w:hAnsi="华文楷体" w:eastAsia="华文楷体" w:cs="华文楷体"/>
          <w:sz w:val="24"/>
        </w:rPr>
        <w:t>1 投标文件编写注意事项</w:t>
      </w:r>
      <w:bookmarkEnd w:id="7"/>
    </w:p>
    <w:p>
      <w:pPr>
        <w:spacing w:line="360" w:lineRule="auto"/>
        <w:rPr>
          <w:rFonts w:ascii="华文楷体" w:hAnsi="华文楷体" w:eastAsia="华文楷体" w:cs="华文楷体"/>
          <w:sz w:val="24"/>
        </w:rPr>
      </w:pPr>
      <w:r>
        <w:rPr>
          <w:rFonts w:hint="eastAsia" w:ascii="华文楷体" w:hAnsi="华文楷体" w:eastAsia="华文楷体" w:cs="华文楷体"/>
          <w:sz w:val="24"/>
        </w:rPr>
        <w:t>1.1投标人应仔细阅读招标文件，在完全了解采购的内容、技术性能要求(详见“项目需求及技术要求”)和商务条件后，编写投标文件。招标文件中标注★号的条款为实质性要求和条件，投标文件必须响应招标文件的实质性要求和条件，不满足任何一条将导致投标无效。</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1.2 对招标文件提出的实质性要求和条件作出响应是指：投标人必须对招标文件中的实质性要求和条件的内容作出满足或者优于原要求和条件的承诺，并提供相应的证明材料。</w:t>
      </w:r>
    </w:p>
    <w:p>
      <w:pPr>
        <w:spacing w:line="360" w:lineRule="auto"/>
        <w:outlineLvl w:val="2"/>
        <w:rPr>
          <w:rFonts w:ascii="华文楷体" w:hAnsi="华文楷体" w:eastAsia="华文楷体" w:cs="华文楷体"/>
          <w:sz w:val="24"/>
        </w:rPr>
      </w:pPr>
      <w:bookmarkStart w:id="8" w:name="_Toc138771418"/>
      <w:r>
        <w:rPr>
          <w:rFonts w:hint="eastAsia" w:ascii="华文楷体" w:hAnsi="华文楷体" w:eastAsia="华文楷体" w:cs="华文楷体"/>
          <w:sz w:val="24"/>
        </w:rPr>
        <w:t>2. 投标的语言及计量单位</w:t>
      </w:r>
      <w:bookmarkEnd w:id="8"/>
    </w:p>
    <w:p>
      <w:pPr>
        <w:spacing w:line="360" w:lineRule="auto"/>
        <w:rPr>
          <w:rFonts w:ascii="华文楷体" w:hAnsi="华文楷体" w:eastAsia="华文楷体" w:cs="华文楷体"/>
          <w:sz w:val="24"/>
        </w:rPr>
      </w:pPr>
      <w:r>
        <w:rPr>
          <w:rFonts w:hint="eastAsia" w:ascii="华文楷体" w:hAnsi="华文楷体" w:eastAsia="华文楷体" w:cs="华文楷体"/>
          <w:sz w:val="24"/>
        </w:rPr>
        <w:t>2.1投标人的投标文件统一使用中文（特别规定除外）。</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2.2投标文件中使用的计量单位除招标文件中有特殊规定外，一律使用中国法定计量单位。</w:t>
      </w:r>
    </w:p>
    <w:p>
      <w:pPr>
        <w:spacing w:line="360" w:lineRule="auto"/>
        <w:outlineLvl w:val="2"/>
        <w:rPr>
          <w:rFonts w:ascii="华文楷体" w:hAnsi="华文楷体" w:eastAsia="华文楷体" w:cs="华文楷体"/>
          <w:sz w:val="24"/>
        </w:rPr>
      </w:pPr>
      <w:bookmarkStart w:id="9" w:name="_Toc138771419"/>
      <w:r>
        <w:rPr>
          <w:rFonts w:hint="eastAsia" w:ascii="华文楷体" w:hAnsi="华文楷体" w:eastAsia="华文楷体" w:cs="华文楷体"/>
          <w:sz w:val="24"/>
        </w:rPr>
        <w:t>3 投标文件构成（格式）</w:t>
      </w:r>
      <w:bookmarkEnd w:id="9"/>
    </w:p>
    <w:p>
      <w:pPr>
        <w:spacing w:line="360" w:lineRule="auto"/>
        <w:rPr>
          <w:rFonts w:ascii="华文楷体" w:hAnsi="华文楷体" w:eastAsia="华文楷体" w:cs="华文楷体"/>
          <w:sz w:val="24"/>
        </w:rPr>
      </w:pPr>
      <w:r>
        <w:rPr>
          <w:rFonts w:hint="eastAsia" w:ascii="华文楷体" w:hAnsi="华文楷体" w:eastAsia="华文楷体" w:cs="华文楷体"/>
          <w:sz w:val="24"/>
        </w:rPr>
        <w:t>见附件。</w:t>
      </w:r>
    </w:p>
    <w:p>
      <w:pPr>
        <w:spacing w:line="360" w:lineRule="auto"/>
        <w:outlineLvl w:val="2"/>
        <w:rPr>
          <w:rFonts w:ascii="华文楷体" w:hAnsi="华文楷体" w:eastAsia="华文楷体" w:cs="华文楷体"/>
          <w:sz w:val="24"/>
        </w:rPr>
      </w:pPr>
      <w:bookmarkStart w:id="10" w:name="_Toc138771420"/>
      <w:r>
        <w:rPr>
          <w:rFonts w:hint="eastAsia" w:ascii="华文楷体" w:hAnsi="华文楷体" w:eastAsia="华文楷体" w:cs="华文楷体"/>
          <w:sz w:val="24"/>
        </w:rPr>
        <w:t>4 投标报价</w:t>
      </w:r>
      <w:bookmarkEnd w:id="10"/>
    </w:p>
    <w:p>
      <w:pPr>
        <w:spacing w:line="360" w:lineRule="auto"/>
        <w:rPr>
          <w:rFonts w:ascii="华文楷体" w:hAnsi="华文楷体" w:eastAsia="华文楷体" w:cs="华文楷体"/>
          <w:sz w:val="24"/>
        </w:rPr>
      </w:pPr>
      <w:r>
        <w:rPr>
          <w:rFonts w:ascii="华文楷体" w:hAnsi="华文楷体" w:eastAsia="华文楷体" w:cs="华文楷体"/>
          <w:sz w:val="24"/>
        </w:rPr>
        <w:t>★</w:t>
      </w:r>
      <w:r>
        <w:rPr>
          <w:rFonts w:hint="eastAsia" w:ascii="华文楷体" w:hAnsi="华文楷体" w:eastAsia="华文楷体" w:cs="华文楷体"/>
          <w:sz w:val="24"/>
        </w:rPr>
        <w:t>4.</w:t>
      </w:r>
      <w:r>
        <w:rPr>
          <w:rFonts w:ascii="华文楷体" w:hAnsi="华文楷体" w:eastAsia="华文楷体" w:cs="华文楷体"/>
          <w:sz w:val="24"/>
        </w:rPr>
        <w:t>1本项目预算金额及最高限价见“投标人须知前附表”</w:t>
      </w:r>
      <w:r>
        <w:rPr>
          <w:rFonts w:hint="eastAsia" w:ascii="华文楷体" w:hAnsi="华文楷体" w:eastAsia="华文楷体" w:cs="华文楷体"/>
          <w:sz w:val="24"/>
        </w:rPr>
        <w:t>或招标公告</w:t>
      </w:r>
      <w:r>
        <w:rPr>
          <w:rFonts w:ascii="华文楷体" w:hAnsi="华文楷体" w:eastAsia="华文楷体" w:cs="华文楷体"/>
          <w:sz w:val="24"/>
        </w:rPr>
        <w:t>，</w:t>
      </w:r>
      <w:r>
        <w:rPr>
          <w:rFonts w:ascii="华文楷体" w:hAnsi="华文楷体" w:eastAsia="华文楷体" w:cs="华文楷体"/>
          <w:b/>
          <w:bCs/>
          <w:sz w:val="24"/>
        </w:rPr>
        <w:t>若投标人的投标报价超过最高限价</w:t>
      </w:r>
      <w:r>
        <w:rPr>
          <w:rFonts w:hint="eastAsia" w:ascii="华文楷体" w:hAnsi="华文楷体" w:eastAsia="华文楷体" w:cs="华文楷体"/>
          <w:b/>
          <w:bCs/>
          <w:sz w:val="24"/>
        </w:rPr>
        <w:t>/预算价</w:t>
      </w:r>
      <w:r>
        <w:rPr>
          <w:rFonts w:ascii="华文楷体" w:hAnsi="华文楷体" w:eastAsia="华文楷体" w:cs="华文楷体"/>
          <w:b/>
          <w:bCs/>
          <w:sz w:val="24"/>
        </w:rPr>
        <w:t>，按不实质性响应招标文件要求处理。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4</w:t>
      </w:r>
      <w:r>
        <w:rPr>
          <w:rFonts w:ascii="华文楷体" w:hAnsi="华文楷体" w:eastAsia="华文楷体" w:cs="华文楷体"/>
          <w:sz w:val="24"/>
        </w:rPr>
        <w:t>.2投标人须就“项目需求及技术要求”中的所投包货物内容作完整唯一报价。</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4.3</w:t>
      </w:r>
      <w:r>
        <w:rPr>
          <w:rFonts w:ascii="华文楷体" w:hAnsi="华文楷体" w:eastAsia="华文楷体" w:cs="华文楷体"/>
          <w:sz w:val="24"/>
        </w:rPr>
        <w:t>投标以人民币报价。</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5</w:t>
      </w:r>
      <w:r>
        <w:rPr>
          <w:rFonts w:ascii="华文楷体" w:hAnsi="华文楷体" w:eastAsia="华文楷体" w:cs="华文楷体"/>
          <w:sz w:val="24"/>
        </w:rPr>
        <w:t>投标文件应尽量避免涂改、行间插字或删除。如果出现上述情况，改动之处应加盖单位章或由投标人的法定代表人（签名或盖章）确认。</w:t>
      </w:r>
    </w:p>
    <w:p>
      <w:pPr>
        <w:spacing w:line="360" w:lineRule="auto"/>
        <w:rPr>
          <w:rFonts w:ascii="华文楷体" w:hAnsi="华文楷体" w:eastAsia="华文楷体" w:cs="华文楷体"/>
          <w:sz w:val="24"/>
        </w:rPr>
      </w:pPr>
      <w:r>
        <w:rPr>
          <w:rFonts w:ascii="华文楷体" w:hAnsi="华文楷体" w:eastAsia="华文楷体" w:cs="华文楷体"/>
          <w:sz w:val="24"/>
        </w:rPr>
        <w:t>★</w:t>
      </w:r>
      <w:r>
        <w:rPr>
          <w:rFonts w:hint="eastAsia" w:ascii="华文楷体" w:hAnsi="华文楷体" w:eastAsia="华文楷体" w:cs="华文楷体"/>
          <w:sz w:val="24"/>
        </w:rPr>
        <w:t>6</w:t>
      </w:r>
      <w:r>
        <w:rPr>
          <w:rFonts w:ascii="华文楷体" w:hAnsi="华文楷体" w:eastAsia="华文楷体" w:cs="华文楷体"/>
          <w:sz w:val="24"/>
        </w:rPr>
        <w:t>关键内容字迹潦草、表达不清、未按要求填写而导致非唯一理解，视为未实质性响应招标文件的投标文件。</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7</w:t>
      </w:r>
      <w:r>
        <w:rPr>
          <w:rFonts w:ascii="华文楷体" w:hAnsi="华文楷体" w:eastAsia="华文楷体" w:cs="华文楷体"/>
          <w:sz w:val="24"/>
        </w:rPr>
        <w:t>投标文件中提供的资料（扫描件），内容必须清晰可辨，若内容模糊，无法辨识，均视为未提供。</w:t>
      </w:r>
    </w:p>
    <w:p>
      <w:pPr>
        <w:spacing w:line="360" w:lineRule="auto"/>
        <w:rPr>
          <w:rFonts w:ascii="华文楷体" w:hAnsi="华文楷体" w:eastAsia="华文楷体" w:cs="华文楷体"/>
          <w:sz w:val="24"/>
        </w:rPr>
      </w:pPr>
      <w:r>
        <w:rPr>
          <w:rFonts w:ascii="华文楷体" w:hAnsi="华文楷体" w:eastAsia="华文楷体" w:cs="华文楷体"/>
          <w:sz w:val="24"/>
        </w:rPr>
        <w:t>★</w:t>
      </w:r>
      <w:r>
        <w:rPr>
          <w:rFonts w:hint="eastAsia" w:ascii="华文楷体" w:hAnsi="华文楷体" w:eastAsia="华文楷体" w:cs="华文楷体"/>
          <w:sz w:val="24"/>
        </w:rPr>
        <w:t>8</w:t>
      </w:r>
      <w:r>
        <w:rPr>
          <w:rFonts w:ascii="华文楷体" w:hAnsi="华文楷体" w:eastAsia="华文楷体" w:cs="华文楷体"/>
          <w:sz w:val="24"/>
        </w:rPr>
        <w:t>投标文件中对招标文件商务条款及技术要求的应答出现完全或绝大部分复制招标文件要求的，视为未实质性响应招标文件的投标文件。</w:t>
      </w:r>
    </w:p>
    <w:p>
      <w:pPr>
        <w:pStyle w:val="3"/>
        <w:rPr>
          <w:rFonts w:ascii="华文楷体" w:hAnsi="华文楷体" w:eastAsia="华文楷体" w:cs="华文楷体"/>
          <w:sz w:val="24"/>
        </w:rPr>
      </w:pPr>
      <w:bookmarkStart w:id="11" w:name="_Toc138771421"/>
      <w:r>
        <w:rPr>
          <w:rFonts w:hint="eastAsia" w:ascii="华文楷体" w:hAnsi="华文楷体" w:eastAsia="华文楷体" w:cs="华文楷体"/>
          <w:sz w:val="24"/>
        </w:rPr>
        <w:t>四、响应文件递交</w:t>
      </w:r>
      <w:bookmarkEnd w:id="11"/>
    </w:p>
    <w:p>
      <w:pPr>
        <w:rPr>
          <w:rFonts w:ascii="华文楷体" w:hAnsi="华文楷体" w:eastAsia="华文楷体" w:cs="华文楷体"/>
          <w:sz w:val="24"/>
        </w:rPr>
      </w:pPr>
      <w:r>
        <w:rPr>
          <w:rFonts w:hint="eastAsia" w:ascii="华文楷体" w:hAnsi="华文楷体" w:eastAsia="华文楷体" w:cs="华文楷体"/>
          <w:sz w:val="24"/>
        </w:rPr>
        <w:t>现场谈判时同时提交响应文件。</w:t>
      </w:r>
    </w:p>
    <w:p>
      <w:pPr>
        <w:pStyle w:val="3"/>
        <w:rPr>
          <w:rFonts w:ascii="华文楷体" w:hAnsi="华文楷体" w:eastAsia="华文楷体" w:cs="华文楷体"/>
          <w:sz w:val="24"/>
        </w:rPr>
      </w:pPr>
      <w:bookmarkStart w:id="12" w:name="_Toc138771422"/>
      <w:r>
        <w:rPr>
          <w:rFonts w:hint="eastAsia" w:ascii="华文楷体" w:hAnsi="华文楷体" w:eastAsia="华文楷体" w:cs="华文楷体"/>
          <w:sz w:val="24"/>
        </w:rPr>
        <w:t>五、开标与评标</w:t>
      </w:r>
      <w:bookmarkEnd w:id="12"/>
    </w:p>
    <w:p>
      <w:pPr>
        <w:spacing w:line="360" w:lineRule="auto"/>
        <w:outlineLvl w:val="2"/>
        <w:rPr>
          <w:rFonts w:ascii="华文楷体" w:hAnsi="华文楷体" w:eastAsia="华文楷体" w:cs="华文楷体"/>
          <w:sz w:val="24"/>
        </w:rPr>
      </w:pPr>
      <w:bookmarkStart w:id="13" w:name="_Toc138771423"/>
      <w:r>
        <w:rPr>
          <w:rFonts w:hint="eastAsia" w:ascii="华文楷体" w:hAnsi="华文楷体" w:eastAsia="华文楷体" w:cs="华文楷体"/>
          <w:sz w:val="24"/>
        </w:rPr>
        <w:t>1.评审专家组</w:t>
      </w:r>
      <w:bookmarkEnd w:id="13"/>
    </w:p>
    <w:p>
      <w:pPr>
        <w:spacing w:line="360" w:lineRule="auto"/>
        <w:rPr>
          <w:rFonts w:ascii="华文楷体" w:hAnsi="华文楷体" w:eastAsia="华文楷体" w:cs="华文楷体"/>
          <w:sz w:val="24"/>
        </w:rPr>
      </w:pPr>
      <w:r>
        <w:rPr>
          <w:rFonts w:hint="eastAsia" w:ascii="华文楷体" w:hAnsi="华文楷体" w:eastAsia="华文楷体" w:cs="华文楷体"/>
          <w:sz w:val="24"/>
        </w:rPr>
        <w:t>院内3人及以上专家组成。</w:t>
      </w:r>
    </w:p>
    <w:p>
      <w:pPr>
        <w:spacing w:line="360" w:lineRule="auto"/>
        <w:outlineLvl w:val="2"/>
        <w:rPr>
          <w:rFonts w:ascii="华文楷体" w:hAnsi="华文楷体" w:eastAsia="华文楷体" w:cs="华文楷体"/>
          <w:sz w:val="24"/>
        </w:rPr>
      </w:pPr>
      <w:bookmarkStart w:id="14" w:name="_Toc138771424"/>
      <w:r>
        <w:rPr>
          <w:rFonts w:hint="eastAsia" w:ascii="华文楷体" w:hAnsi="华文楷体" w:eastAsia="华文楷体" w:cs="华文楷体"/>
          <w:sz w:val="24"/>
        </w:rPr>
        <w:t>2.评标方法</w:t>
      </w:r>
      <w:bookmarkEnd w:id="14"/>
    </w:p>
    <w:p>
      <w:pPr>
        <w:spacing w:line="360" w:lineRule="auto"/>
        <w:rPr>
          <w:rFonts w:ascii="华文楷体" w:hAnsi="华文楷体" w:eastAsia="华文楷体" w:cs="华文楷体"/>
          <w:sz w:val="24"/>
        </w:rPr>
      </w:pPr>
      <w:r>
        <w:rPr>
          <w:rFonts w:hint="eastAsia" w:ascii="华文楷体" w:hAnsi="华文楷体" w:eastAsia="华文楷体" w:cs="华文楷体"/>
          <w:sz w:val="24"/>
        </w:rPr>
        <w:t>综合评分法。</w:t>
      </w:r>
    </w:p>
    <w:p>
      <w:pPr>
        <w:spacing w:line="360" w:lineRule="auto"/>
        <w:rPr>
          <w:rFonts w:ascii="华文楷体" w:hAnsi="华文楷体" w:eastAsia="华文楷体" w:cs="华文楷体"/>
          <w:sz w:val="24"/>
        </w:rPr>
      </w:pPr>
      <w:r>
        <w:rPr>
          <w:rFonts w:ascii="华文楷体" w:hAnsi="华文楷体" w:eastAsia="华文楷体" w:cs="华文楷体"/>
          <w:sz w:val="24"/>
        </w:rPr>
        <w:t>★</w:t>
      </w:r>
      <w:r>
        <w:rPr>
          <w:rFonts w:hint="eastAsia" w:ascii="华文楷体" w:hAnsi="华文楷体" w:eastAsia="华文楷体" w:cs="华文楷体"/>
          <w:sz w:val="24"/>
        </w:rPr>
        <w:t>3.</w:t>
      </w:r>
      <w:r>
        <w:rPr>
          <w:rFonts w:ascii="华文楷体" w:hAnsi="华文楷体" w:eastAsia="华文楷体" w:cs="华文楷体"/>
          <w:sz w:val="24"/>
        </w:rPr>
        <w:t>有下列情形之一的，视为投标人串通投标，其投标无效：</w:t>
      </w:r>
    </w:p>
    <w:p>
      <w:pPr>
        <w:spacing w:line="360" w:lineRule="auto"/>
        <w:rPr>
          <w:rFonts w:ascii="华文楷体" w:hAnsi="华文楷体" w:eastAsia="华文楷体" w:cs="华文楷体"/>
          <w:sz w:val="24"/>
        </w:rPr>
      </w:pPr>
      <w:r>
        <w:rPr>
          <w:rFonts w:ascii="华文楷体" w:hAnsi="华文楷体" w:eastAsia="华文楷体" w:cs="华文楷体"/>
          <w:sz w:val="24"/>
        </w:rPr>
        <w:t>（一）不同投标人的投标文件由同一单位或者个人编制；</w:t>
      </w:r>
    </w:p>
    <w:p>
      <w:pPr>
        <w:spacing w:line="360" w:lineRule="auto"/>
        <w:rPr>
          <w:rFonts w:ascii="华文楷体" w:hAnsi="华文楷体" w:eastAsia="华文楷体" w:cs="华文楷体"/>
          <w:sz w:val="24"/>
        </w:rPr>
      </w:pPr>
      <w:r>
        <w:rPr>
          <w:rFonts w:ascii="华文楷体" w:hAnsi="华文楷体" w:eastAsia="华文楷体" w:cs="华文楷体"/>
          <w:sz w:val="24"/>
        </w:rPr>
        <w:t>（二）不同投标人委托同一单位或者个人办理投标事宜；</w:t>
      </w:r>
    </w:p>
    <w:p>
      <w:pPr>
        <w:spacing w:line="360" w:lineRule="auto"/>
        <w:rPr>
          <w:rFonts w:ascii="华文楷体" w:hAnsi="华文楷体" w:eastAsia="华文楷体" w:cs="华文楷体"/>
          <w:sz w:val="24"/>
        </w:rPr>
      </w:pPr>
      <w:r>
        <w:rPr>
          <w:rFonts w:ascii="华文楷体" w:hAnsi="华文楷体" w:eastAsia="华文楷体" w:cs="华文楷体"/>
          <w:sz w:val="24"/>
        </w:rPr>
        <w:t>（三）不同投标人的投标文件载明的项目管理成员或者联系人员为同一人；</w:t>
      </w:r>
    </w:p>
    <w:p>
      <w:pPr>
        <w:spacing w:line="360" w:lineRule="auto"/>
        <w:rPr>
          <w:rFonts w:ascii="华文楷体" w:hAnsi="华文楷体" w:eastAsia="华文楷体" w:cs="华文楷体"/>
          <w:sz w:val="24"/>
        </w:rPr>
      </w:pPr>
      <w:r>
        <w:rPr>
          <w:rFonts w:ascii="华文楷体" w:hAnsi="华文楷体" w:eastAsia="华文楷体" w:cs="华文楷体"/>
          <w:sz w:val="24"/>
        </w:rPr>
        <w:t>（四）不同投标人的投标文件异常一致或者投标报价呈规律性差异；</w:t>
      </w:r>
    </w:p>
    <w:p>
      <w:pPr>
        <w:spacing w:line="360" w:lineRule="auto"/>
        <w:rPr>
          <w:rFonts w:ascii="华文楷体" w:hAnsi="华文楷体" w:eastAsia="华文楷体" w:cs="华文楷体"/>
          <w:sz w:val="24"/>
        </w:rPr>
      </w:pPr>
      <w:r>
        <w:rPr>
          <w:rFonts w:ascii="华文楷体" w:hAnsi="华文楷体" w:eastAsia="华文楷体" w:cs="华文楷体"/>
          <w:sz w:val="24"/>
        </w:rPr>
        <w:t>（五）不同投标人的投标文件相互混装；</w:t>
      </w:r>
    </w:p>
    <w:p>
      <w:pPr>
        <w:spacing w:line="360" w:lineRule="auto"/>
        <w:rPr>
          <w:rFonts w:ascii="华文楷体" w:hAnsi="华文楷体" w:eastAsia="华文楷体" w:cs="华文楷体"/>
          <w:b/>
          <w:bCs/>
          <w:sz w:val="24"/>
        </w:rPr>
      </w:pPr>
      <w:r>
        <w:rPr>
          <w:rFonts w:hint="eastAsia" w:ascii="华文楷体" w:hAnsi="华文楷体" w:eastAsia="华文楷体" w:cs="华文楷体"/>
          <w:b/>
          <w:bCs/>
          <w:sz w:val="24"/>
        </w:rPr>
        <w:t>4.</w:t>
      </w:r>
      <w:r>
        <w:rPr>
          <w:rFonts w:ascii="华文楷体" w:hAnsi="华文楷体" w:eastAsia="华文楷体" w:cs="华文楷体"/>
          <w:b/>
          <w:bCs/>
          <w:sz w:val="24"/>
        </w:rPr>
        <w:t>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主要技术指标高优先、质保期长优先、交货时间短优先、故障到达时间短优先的顺序确定一个投标人获得中标人推荐资格，其他同品牌投标人不作为中标候选人。</w:t>
      </w:r>
    </w:p>
    <w:p>
      <w:pPr>
        <w:spacing w:line="360" w:lineRule="auto"/>
        <w:rPr>
          <w:rFonts w:ascii="华文楷体" w:hAnsi="华文楷体" w:eastAsia="华文楷体" w:cs="华文楷体"/>
          <w:b/>
          <w:bCs/>
          <w:sz w:val="24"/>
        </w:rPr>
      </w:pPr>
      <w:r>
        <w:rPr>
          <w:rFonts w:hint="eastAsia" w:ascii="华文楷体" w:hAnsi="华文楷体" w:eastAsia="华文楷体" w:cs="华文楷体"/>
          <w:b/>
          <w:bCs/>
          <w:sz w:val="24"/>
        </w:rPr>
        <w:t>5.</w:t>
      </w:r>
      <w:r>
        <w:rPr>
          <w:rFonts w:ascii="华文楷体" w:hAnsi="华文楷体" w:eastAsia="华文楷体" w:cs="华文楷体"/>
          <w:b/>
          <w:bCs/>
          <w:sz w:val="24"/>
        </w:rPr>
        <w:t>若单个项目包为非单一产品采购项目，对于</w:t>
      </w:r>
      <w:r>
        <w:rPr>
          <w:rFonts w:hint="eastAsia" w:ascii="华文楷体" w:hAnsi="华文楷体" w:eastAsia="华文楷体" w:cs="华文楷体"/>
          <w:b/>
          <w:bCs/>
          <w:sz w:val="24"/>
        </w:rPr>
        <w:t>技术参数</w:t>
      </w:r>
      <w:r>
        <w:rPr>
          <w:rFonts w:ascii="华文楷体" w:hAnsi="华文楷体" w:eastAsia="华文楷体" w:cs="华文楷体"/>
          <w:b/>
          <w:bCs/>
          <w:sz w:val="24"/>
        </w:rPr>
        <w:t>规定核心产品，多家投标人提供的核心产品品牌有一项品牌相同的，按</w:t>
      </w:r>
      <w:r>
        <w:rPr>
          <w:rFonts w:hint="eastAsia" w:ascii="华文楷体" w:hAnsi="华文楷体" w:eastAsia="华文楷体" w:cs="华文楷体"/>
          <w:b/>
          <w:bCs/>
          <w:sz w:val="24"/>
        </w:rPr>
        <w:t>4</w:t>
      </w:r>
      <w:r>
        <w:rPr>
          <w:rFonts w:ascii="华文楷体" w:hAnsi="华文楷体" w:eastAsia="华文楷体" w:cs="华文楷体"/>
          <w:b/>
          <w:bCs/>
          <w:sz w:val="24"/>
        </w:rPr>
        <w:t>款规定处理。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6.</w:t>
      </w:r>
      <w:r>
        <w:rPr>
          <w:rFonts w:ascii="华文楷体" w:hAnsi="华文楷体" w:eastAsia="华文楷体" w:cs="华文楷体"/>
          <w:sz w:val="24"/>
        </w:rPr>
        <w:t>在招标采购中，出现下列情形之一的，应予废标：</w:t>
      </w:r>
    </w:p>
    <w:p>
      <w:pPr>
        <w:spacing w:line="360" w:lineRule="auto"/>
        <w:rPr>
          <w:rFonts w:ascii="华文楷体" w:hAnsi="华文楷体" w:eastAsia="华文楷体" w:cs="华文楷体"/>
          <w:sz w:val="24"/>
        </w:rPr>
      </w:pPr>
      <w:r>
        <w:rPr>
          <w:rFonts w:ascii="华文楷体" w:hAnsi="华文楷体" w:eastAsia="华文楷体" w:cs="华文楷体"/>
          <w:sz w:val="24"/>
        </w:rPr>
        <w:t>(1)符合专业条件的投标人或者对招标文件作实质响应的投标人不足3家的</w:t>
      </w:r>
      <w:r>
        <w:rPr>
          <w:rFonts w:hint="eastAsia" w:ascii="华文楷体" w:hAnsi="华文楷体" w:eastAsia="华文楷体" w:cs="华文楷体"/>
          <w:sz w:val="24"/>
        </w:rPr>
        <w:t>（非二次公示）</w:t>
      </w:r>
      <w:r>
        <w:rPr>
          <w:rFonts w:ascii="华文楷体" w:hAnsi="华文楷体" w:eastAsia="华文楷体" w:cs="华文楷体"/>
          <w:sz w:val="24"/>
        </w:rPr>
        <w:t>；</w:t>
      </w:r>
    </w:p>
    <w:p>
      <w:pPr>
        <w:spacing w:line="360" w:lineRule="auto"/>
        <w:rPr>
          <w:rFonts w:ascii="华文楷体" w:hAnsi="华文楷体" w:eastAsia="华文楷体" w:cs="华文楷体"/>
          <w:sz w:val="24"/>
        </w:rPr>
      </w:pPr>
      <w:r>
        <w:rPr>
          <w:rFonts w:ascii="华文楷体" w:hAnsi="华文楷体" w:eastAsia="华文楷体" w:cs="华文楷体"/>
          <w:sz w:val="24"/>
        </w:rPr>
        <w:t>(2)出现影响采购公正的违法、违规行为的；</w:t>
      </w:r>
    </w:p>
    <w:p>
      <w:pPr>
        <w:spacing w:line="360" w:lineRule="auto"/>
        <w:rPr>
          <w:rFonts w:ascii="华文楷体" w:hAnsi="华文楷体" w:eastAsia="华文楷体" w:cs="华文楷体"/>
          <w:sz w:val="24"/>
        </w:rPr>
      </w:pPr>
      <w:r>
        <w:rPr>
          <w:rFonts w:ascii="华文楷体" w:hAnsi="华文楷体" w:eastAsia="华文楷体" w:cs="华文楷体"/>
          <w:sz w:val="24"/>
        </w:rPr>
        <w:t>(3)投标人的报价均超过了采购预算，采购人不能支付的；</w:t>
      </w:r>
    </w:p>
    <w:p>
      <w:pPr>
        <w:spacing w:line="360" w:lineRule="auto"/>
        <w:rPr>
          <w:rFonts w:ascii="华文楷体" w:hAnsi="华文楷体" w:eastAsia="华文楷体" w:cs="华文楷体"/>
          <w:sz w:val="24"/>
        </w:rPr>
      </w:pPr>
      <w:r>
        <w:rPr>
          <w:rFonts w:ascii="华文楷体" w:hAnsi="华文楷体" w:eastAsia="华文楷体" w:cs="华文楷体"/>
          <w:sz w:val="24"/>
        </w:rPr>
        <w:t>(4)因重大变故，采购任务取消的。</w:t>
      </w:r>
    </w:p>
    <w:p>
      <w:pPr>
        <w:pStyle w:val="3"/>
        <w:rPr>
          <w:rFonts w:ascii="华文楷体" w:hAnsi="华文楷体" w:eastAsia="华文楷体" w:cs="华文楷体"/>
          <w:sz w:val="24"/>
        </w:rPr>
      </w:pPr>
      <w:bookmarkStart w:id="15" w:name="_Toc138771425"/>
      <w:r>
        <w:rPr>
          <w:rFonts w:hint="eastAsia" w:ascii="华文楷体" w:hAnsi="华文楷体" w:eastAsia="华文楷体" w:cs="华文楷体"/>
          <w:sz w:val="24"/>
        </w:rPr>
        <w:t>六、中标结果</w:t>
      </w:r>
      <w:bookmarkEnd w:id="15"/>
    </w:p>
    <w:p>
      <w:pPr>
        <w:rPr>
          <w:rFonts w:ascii="华文楷体" w:hAnsi="华文楷体" w:eastAsia="华文楷体" w:cs="华文楷体"/>
          <w:sz w:val="24"/>
        </w:rPr>
      </w:pPr>
      <w:r>
        <w:rPr>
          <w:rFonts w:hint="eastAsia" w:ascii="华文楷体" w:hAnsi="华文楷体" w:eastAsia="华文楷体" w:cs="华文楷体"/>
          <w:sz w:val="24"/>
        </w:rPr>
        <w:t>中标结果公示地点为昆明医科大学第二附属医院网站。</w:t>
      </w:r>
    </w:p>
    <w:p>
      <w:pPr>
        <w:pStyle w:val="2"/>
        <w:rPr>
          <w:rFonts w:ascii="方正楷体_GBK" w:hAnsi="方正楷体_GBK" w:eastAsia="方正楷体_GBK" w:cs="方正楷体_GBK"/>
          <w:sz w:val="28"/>
          <w:szCs w:val="22"/>
        </w:rPr>
      </w:pPr>
      <w:bookmarkStart w:id="16" w:name="_Toc138771426"/>
      <w:r>
        <w:rPr>
          <w:rFonts w:ascii="方正楷体_GBK" w:hAnsi="方正楷体_GBK" w:eastAsia="方正楷体_GBK" w:cs="方正楷体_GBK"/>
          <w:sz w:val="28"/>
          <w:szCs w:val="22"/>
        </w:rPr>
        <w:t>第三章 合同书样式及主要条款</w:t>
      </w:r>
      <w:bookmarkEnd w:id="16"/>
    </w:p>
    <w:p>
      <w:pPr>
        <w:rPr>
          <w:rFonts w:ascii="华文楷体" w:hAnsi="华文楷体" w:eastAsia="华文楷体" w:cs="华文楷体"/>
          <w:sz w:val="24"/>
        </w:rPr>
      </w:pPr>
      <w:r>
        <w:rPr>
          <w:rFonts w:ascii="华文楷体" w:hAnsi="华文楷体" w:eastAsia="华文楷体" w:cs="华文楷体"/>
          <w:sz w:val="24"/>
        </w:rPr>
        <w:t>合同格式以中标人与采购人最终协商确定的合同格式为准。</w:t>
      </w:r>
    </w:p>
    <w:p>
      <w:pPr>
        <w:pStyle w:val="2"/>
      </w:pPr>
      <w:bookmarkStart w:id="17" w:name="_Toc138771428"/>
      <w:r>
        <w:rPr>
          <w:rFonts w:ascii="方正楷体_GBK" w:hAnsi="方正楷体_GBK" w:eastAsia="方正楷体_GBK" w:cs="方正楷体_GBK"/>
          <w:sz w:val="28"/>
          <w:szCs w:val="22"/>
        </w:rPr>
        <w:t>第</w:t>
      </w:r>
      <w:r>
        <w:rPr>
          <w:rFonts w:hint="eastAsia" w:ascii="方正楷体_GBK" w:hAnsi="方正楷体_GBK" w:eastAsia="方正楷体_GBK" w:cs="方正楷体_GBK"/>
          <w:sz w:val="28"/>
          <w:szCs w:val="22"/>
          <w:lang w:eastAsia="zh-CN"/>
        </w:rPr>
        <w:t>四</w:t>
      </w:r>
      <w:r>
        <w:rPr>
          <w:rFonts w:ascii="方正楷体_GBK" w:hAnsi="方正楷体_GBK" w:eastAsia="方正楷体_GBK" w:cs="方正楷体_GBK"/>
          <w:sz w:val="28"/>
          <w:szCs w:val="22"/>
        </w:rPr>
        <w:t>章  项目需求及技术要求</w:t>
      </w:r>
      <w:bookmarkEnd w:id="17"/>
    </w:p>
    <w:p>
      <w:pPr>
        <w:spacing w:line="360" w:lineRule="auto"/>
        <w:rPr>
          <w:rFonts w:ascii="华文楷体" w:hAnsi="华文楷体" w:eastAsia="华文楷体" w:cs="华文楷体"/>
          <w:sz w:val="24"/>
        </w:rPr>
      </w:pPr>
      <w:r>
        <w:rPr>
          <w:rFonts w:hint="eastAsia" w:ascii="华文楷体" w:hAnsi="华文楷体" w:eastAsia="华文楷体" w:cs="华文楷体"/>
          <w:sz w:val="24"/>
        </w:rPr>
        <w:t>1. 该项目实施地为云南省昆明市五华区滇缅大道374号</w:t>
      </w:r>
      <w:r>
        <w:rPr>
          <w:rFonts w:hint="eastAsia" w:ascii="华文楷体" w:hAnsi="华文楷体" w:eastAsia="华文楷体" w:cs="华文楷体"/>
          <w:sz w:val="24"/>
          <w:lang w:val="en-US" w:eastAsia="zh-CN"/>
        </w:rPr>
        <w:t>6号楼3楼</w:t>
      </w:r>
      <w:r>
        <w:rPr>
          <w:rFonts w:hint="eastAsia" w:ascii="华文楷体" w:hAnsi="华文楷体" w:eastAsia="华文楷体" w:cs="华文楷体"/>
          <w:sz w:val="24"/>
        </w:rPr>
        <w:t>，布线工程需要配合目前院</w:t>
      </w:r>
      <w:r>
        <w:rPr>
          <w:rFonts w:hint="eastAsia" w:ascii="华文楷体" w:hAnsi="华文楷体" w:eastAsia="华文楷体" w:cs="华文楷体"/>
          <w:sz w:val="24"/>
          <w:lang w:val="en-US" w:eastAsia="zh-CN"/>
        </w:rPr>
        <w:t>区</w:t>
      </w:r>
      <w:r>
        <w:rPr>
          <w:rFonts w:hint="eastAsia" w:ascii="华文楷体" w:hAnsi="华文楷体" w:eastAsia="华文楷体" w:cs="华文楷体"/>
          <w:sz w:val="24"/>
        </w:rPr>
        <w:t>装修工程，工期</w:t>
      </w:r>
      <w:r>
        <w:rPr>
          <w:rFonts w:hint="eastAsia" w:ascii="华文楷体" w:hAnsi="华文楷体" w:eastAsia="华文楷体" w:cs="华文楷体"/>
          <w:sz w:val="24"/>
          <w:lang w:val="en-US" w:eastAsia="zh-CN"/>
        </w:rPr>
        <w:t>满足</w:t>
      </w:r>
      <w:r>
        <w:rPr>
          <w:rFonts w:hint="eastAsia" w:ascii="华文楷体" w:hAnsi="华文楷体" w:eastAsia="华文楷体" w:cs="华文楷体"/>
          <w:sz w:val="24"/>
        </w:rPr>
        <w:t>装修工程。</w:t>
      </w:r>
    </w:p>
    <w:p>
      <w:pPr>
        <w:spacing w:line="360" w:lineRule="auto"/>
        <w:rPr>
          <w:rFonts w:ascii="华文楷体" w:hAnsi="华文楷体" w:eastAsia="华文楷体" w:cs="华文楷体"/>
          <w:sz w:val="24"/>
        </w:rPr>
      </w:pPr>
      <w:r>
        <w:rPr>
          <w:rFonts w:ascii="华文楷体" w:hAnsi="华文楷体" w:eastAsia="华文楷体" w:cs="华文楷体"/>
          <w:sz w:val="24"/>
        </w:rPr>
        <w:t>2</w:t>
      </w:r>
      <w:r>
        <w:rPr>
          <w:rFonts w:hint="eastAsia" w:ascii="华文楷体" w:hAnsi="华文楷体" w:eastAsia="华文楷体" w:cs="华文楷体"/>
          <w:sz w:val="24"/>
        </w:rPr>
        <w:t>.由于投标厂商所投产品的差异，涉及配件及装修改造有差异，本项目涉及材料采购布线以及设备安装调试所需配件和材料可能不一致，工程材料不限于《综合布线材料清单》，工程包含材料、设备、施工、FLUKE测试、标识、配合费等费用，施工过程中必须的材料包含在本合同中，项目</w:t>
      </w:r>
      <w:r>
        <w:rPr>
          <w:rFonts w:hint="eastAsia" w:ascii="华文楷体" w:hAnsi="华文楷体" w:eastAsia="华文楷体" w:cs="华文楷体"/>
          <w:sz w:val="24"/>
          <w:lang w:val="en-US" w:eastAsia="zh-CN"/>
        </w:rPr>
        <w:t>为包干价</w:t>
      </w:r>
      <w:r>
        <w:rPr>
          <w:rFonts w:hint="eastAsia" w:ascii="华文楷体" w:hAnsi="华文楷体" w:eastAsia="华文楷体" w:cs="华文楷体"/>
          <w:sz w:val="24"/>
        </w:rPr>
        <w:t>，如果线缆用不完需提供给信息中心。</w:t>
      </w:r>
    </w:p>
    <w:p>
      <w:pPr>
        <w:spacing w:line="360" w:lineRule="auto"/>
        <w:rPr>
          <w:rFonts w:ascii="华文楷体" w:hAnsi="华文楷体" w:eastAsia="华文楷体" w:cs="华文楷体"/>
          <w:sz w:val="24"/>
        </w:rPr>
      </w:pPr>
      <w:r>
        <w:rPr>
          <w:rFonts w:ascii="华文楷体" w:hAnsi="华文楷体" w:eastAsia="华文楷体" w:cs="华文楷体"/>
          <w:sz w:val="24"/>
        </w:rPr>
        <w:t>3</w:t>
      </w:r>
      <w:r>
        <w:rPr>
          <w:rFonts w:hint="eastAsia" w:ascii="华文楷体" w:hAnsi="华文楷体" w:eastAsia="华文楷体" w:cs="华文楷体"/>
          <w:sz w:val="24"/>
        </w:rPr>
        <w:t>. 所提供的综合布线系统产品全系列产品为原生产产地原装的同一品牌产品，包括线缆、配线架、理线架、模块和面板、跳线、连接器等。投标方必须在交货时附带厂家原产地证明并提供原厂出厂检验报告等，并保证在工程完工时向厂商申请15年或以上产品质量及应用保证书。产品必须符合ISO11801等标准。本需求一览表中的、技术参数及其性能（配置）仅起参考作用，投标人可选用如TCL、大唐电信、3M、施耐德、康普、汉维、西蒙及同等产品等。</w:t>
      </w:r>
    </w:p>
    <w:p>
      <w:pPr>
        <w:spacing w:line="360" w:lineRule="auto"/>
        <w:rPr>
          <w:rFonts w:ascii="华文楷体" w:hAnsi="华文楷体" w:eastAsia="华文楷体" w:cs="华文楷体"/>
          <w:sz w:val="24"/>
        </w:rPr>
      </w:pPr>
      <w:r>
        <w:rPr>
          <w:rFonts w:ascii="华文楷体" w:hAnsi="华文楷体" w:eastAsia="华文楷体" w:cs="华文楷体"/>
          <w:sz w:val="24"/>
        </w:rPr>
        <w:t>4</w:t>
      </w:r>
      <w:r>
        <w:rPr>
          <w:rFonts w:hint="eastAsia" w:ascii="华文楷体" w:hAnsi="华文楷体" w:eastAsia="华文楷体" w:cs="华文楷体"/>
          <w:sz w:val="24"/>
        </w:rPr>
        <w:t>.本项目为改建工程，为了不影响医院正常营业，施工过程中可能需要下午5点后或夜间施工，请各投标方根据自身公司情况考虑。</w:t>
      </w:r>
    </w:p>
    <w:p>
      <w:pPr>
        <w:spacing w:line="360" w:lineRule="auto"/>
        <w:rPr>
          <w:rFonts w:hint="eastAsia" w:ascii="华文楷体" w:hAnsi="华文楷体" w:eastAsia="华文楷体" w:cs="华文楷体"/>
          <w:sz w:val="24"/>
        </w:rPr>
      </w:pPr>
      <w:r>
        <w:rPr>
          <w:rFonts w:ascii="华文楷体" w:hAnsi="华文楷体" w:eastAsia="华文楷体" w:cs="华文楷体"/>
          <w:sz w:val="24"/>
        </w:rPr>
        <w:t>5</w:t>
      </w:r>
      <w:r>
        <w:rPr>
          <w:rFonts w:hint="eastAsia" w:ascii="华文楷体" w:hAnsi="华文楷体" w:eastAsia="华文楷体" w:cs="华文楷体"/>
          <w:sz w:val="24"/>
        </w:rPr>
        <w:t>、需要配合院区信息化系统上线。</w:t>
      </w:r>
    </w:p>
    <w:p>
      <w:pPr>
        <w:spacing w:line="360" w:lineRule="auto"/>
        <w:rPr>
          <w:rFonts w:hint="eastAsia"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6、商务要求</w:t>
      </w:r>
    </w:p>
    <w:p>
      <w:pPr>
        <w:spacing w:line="360" w:lineRule="auto"/>
        <w:rPr>
          <w:rFonts w:hint="eastAsia"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（1）付款方式：综合布线完工并验收通过后支付合同总额的95%，待质保到期后无质量问题支付合同总额的5%。</w:t>
      </w:r>
    </w:p>
    <w:p>
      <w:pPr>
        <w:spacing w:line="360" w:lineRule="auto"/>
        <w:rPr>
          <w:rFonts w:hint="default" w:ascii="华文楷体" w:hAnsi="华文楷体" w:eastAsia="华文楷体" w:cs="华文楷体"/>
          <w:sz w:val="24"/>
          <w:lang w:val="en-US" w:eastAsia="zh-CN"/>
        </w:rPr>
      </w:pPr>
      <w:r>
        <w:rPr>
          <w:rFonts w:hint="eastAsia" w:ascii="华文楷体" w:hAnsi="华文楷体" w:eastAsia="华文楷体" w:cs="华文楷体"/>
          <w:sz w:val="24"/>
          <w:lang w:val="en-US" w:eastAsia="zh-CN"/>
        </w:rPr>
        <w:t>（2）</w:t>
      </w:r>
      <w:r>
        <w:rPr>
          <w:rFonts w:hint="eastAsia" w:ascii="华文楷体" w:hAnsi="华文楷体" w:eastAsia="华文楷体" w:cs="华文楷体"/>
          <w:sz w:val="24"/>
          <w:lang w:eastAsia="zh-CN"/>
        </w:rPr>
        <w:t>工</w:t>
      </w:r>
      <w:r>
        <w:rPr>
          <w:rFonts w:hint="eastAsia" w:ascii="华文楷体" w:hAnsi="华文楷体" w:eastAsia="华文楷体" w:cs="华文楷体"/>
          <w:sz w:val="24"/>
        </w:rPr>
        <w:t>期要求</w:t>
      </w:r>
      <w:r>
        <w:rPr>
          <w:rFonts w:hint="eastAsia" w:ascii="华文楷体" w:hAnsi="华文楷体" w:eastAsia="华文楷体" w:cs="华文楷体"/>
          <w:sz w:val="24"/>
          <w:lang w:eastAsia="zh-CN"/>
        </w:rPr>
        <w:t>：</w:t>
      </w:r>
      <w:r>
        <w:rPr>
          <w:rFonts w:hint="eastAsia" w:ascii="华文楷体" w:hAnsi="华文楷体" w:eastAsia="华文楷体" w:cs="华文楷体"/>
          <w:sz w:val="24"/>
          <w:lang w:val="en-US" w:eastAsia="zh-CN"/>
        </w:rPr>
        <w:t>15个工作日内。</w:t>
      </w:r>
    </w:p>
    <w:p/>
    <w:tbl>
      <w:tblPr>
        <w:tblStyle w:val="12"/>
        <w:tblW w:w="915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663"/>
        <w:gridCol w:w="1416"/>
        <w:gridCol w:w="4254"/>
        <w:gridCol w:w="600"/>
        <w:gridCol w:w="616"/>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153" w:type="dxa"/>
            <w:gridSpan w:val="7"/>
            <w:noWrap/>
            <w:vAlign w:val="center"/>
          </w:tcPr>
          <w:p>
            <w:pPr>
              <w:widowControl/>
              <w:jc w:val="center"/>
              <w:rPr>
                <w:rFonts w:ascii="黑体" w:hAnsi="黑体" w:eastAsia="黑体" w:cs="宋体"/>
                <w:b/>
                <w:bCs/>
                <w:kern w:val="0"/>
                <w:sz w:val="32"/>
                <w:szCs w:val="32"/>
              </w:rPr>
            </w:pPr>
            <w:r>
              <w:rPr>
                <w:rFonts w:hint="eastAsia" w:ascii="黑体" w:hAnsi="黑体" w:eastAsia="黑体" w:cs="宋体"/>
                <w:b/>
                <w:bCs/>
                <w:kern w:val="0"/>
                <w:sz w:val="32"/>
                <w:szCs w:val="32"/>
              </w:rPr>
              <w:t>综合布线材料清单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5" w:hRule="atLeast"/>
        </w:trPr>
        <w:tc>
          <w:tcPr>
            <w:tcW w:w="600" w:type="dxa"/>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序号</w:t>
            </w:r>
          </w:p>
        </w:tc>
        <w:tc>
          <w:tcPr>
            <w:tcW w:w="1663" w:type="dxa"/>
            <w:noWrap/>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产品（项目）名称</w:t>
            </w:r>
          </w:p>
        </w:tc>
        <w:tc>
          <w:tcPr>
            <w:tcW w:w="1416" w:type="dxa"/>
            <w:noWrap/>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规格</w:t>
            </w:r>
          </w:p>
        </w:tc>
        <w:tc>
          <w:tcPr>
            <w:tcW w:w="4254" w:type="dxa"/>
            <w:noWrap/>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描述</w:t>
            </w:r>
          </w:p>
        </w:tc>
        <w:tc>
          <w:tcPr>
            <w:tcW w:w="600" w:type="dxa"/>
            <w:noWrap/>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单位</w:t>
            </w:r>
          </w:p>
        </w:tc>
        <w:tc>
          <w:tcPr>
            <w:tcW w:w="600" w:type="dxa"/>
            <w:noWrap/>
            <w:vAlign w:val="center"/>
          </w:tcPr>
          <w:p>
            <w:pPr>
              <w:widowControl/>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5" w:hRule="atLeast"/>
        </w:trPr>
        <w:tc>
          <w:tcPr>
            <w:tcW w:w="600" w:type="dxa"/>
            <w:shd w:val="clear" w:color="auto" w:fill="auto"/>
            <w:noWrap w:val="0"/>
            <w:vAlign w:val="center"/>
          </w:tcPr>
          <w:p>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1</w:t>
            </w:r>
          </w:p>
        </w:tc>
        <w:tc>
          <w:tcPr>
            <w:tcW w:w="1663" w:type="dxa"/>
            <w:shd w:val="clear" w:color="000000" w:fill="FFFFFF"/>
            <w:noWrap w:val="0"/>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六类信息模块</w:t>
            </w:r>
          </w:p>
        </w:tc>
        <w:tc>
          <w:tcPr>
            <w:tcW w:w="1416" w:type="dxa"/>
            <w:shd w:val="clear" w:color="000000" w:fill="FFFFFF"/>
            <w:noWrap w:val="0"/>
            <w:vAlign w:val="center"/>
          </w:tcPr>
          <w:p>
            <w:pPr>
              <w:widowControl/>
              <w:jc w:val="center"/>
              <w:rPr>
                <w:rFonts w:ascii="仿宋_GB2312" w:hAnsi="宋体" w:eastAsia="仿宋_GB2312" w:cs="宋体"/>
                <w:color w:val="000000"/>
                <w:kern w:val="0"/>
                <w:sz w:val="20"/>
                <w:szCs w:val="20"/>
                <w:highlight w:val="yellow"/>
              </w:rPr>
            </w:pPr>
          </w:p>
        </w:tc>
        <w:tc>
          <w:tcPr>
            <w:tcW w:w="4254" w:type="dxa"/>
            <w:shd w:val="clear" w:color="000000" w:fill="FFFFFF"/>
            <w:noWrap w:val="0"/>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白色，RJ45，镀金50μ"</w:t>
            </w:r>
          </w:p>
        </w:tc>
        <w:tc>
          <w:tcPr>
            <w:tcW w:w="600" w:type="dxa"/>
            <w:shd w:val="clear" w:color="000000" w:fill="FFFFFF"/>
            <w:noWrap w:val="0"/>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w:t>
            </w:r>
          </w:p>
        </w:tc>
        <w:tc>
          <w:tcPr>
            <w:tcW w:w="600" w:type="dxa"/>
            <w:shd w:val="clear" w:color="000000" w:fill="FFFFFF"/>
            <w:noWrap w:val="0"/>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5" w:hRule="atLeast"/>
        </w:trPr>
        <w:tc>
          <w:tcPr>
            <w:tcW w:w="600" w:type="dxa"/>
            <w:shd w:val="clear" w:color="auto" w:fill="auto"/>
            <w:noWrap w:val="0"/>
            <w:vAlign w:val="center"/>
          </w:tcPr>
          <w:p>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2</w:t>
            </w:r>
          </w:p>
        </w:tc>
        <w:tc>
          <w:tcPr>
            <w:tcW w:w="1663" w:type="dxa"/>
            <w:shd w:val="clear" w:color="000000" w:fill="FFFFFF"/>
            <w:noWrap w:val="0"/>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面板(语音/数据标识条)</w:t>
            </w:r>
          </w:p>
        </w:tc>
        <w:tc>
          <w:tcPr>
            <w:tcW w:w="1416" w:type="dxa"/>
            <w:shd w:val="clear" w:color="000000" w:fill="FFFFFF"/>
            <w:noWrap w:val="0"/>
            <w:vAlign w:val="center"/>
          </w:tcPr>
          <w:p>
            <w:pPr>
              <w:widowControl/>
              <w:jc w:val="center"/>
              <w:rPr>
                <w:rFonts w:ascii="仿宋_GB2312" w:hAnsi="宋体" w:eastAsia="仿宋_GB2312" w:cs="宋体"/>
                <w:color w:val="000000"/>
                <w:kern w:val="0"/>
                <w:sz w:val="20"/>
                <w:szCs w:val="20"/>
                <w:highlight w:val="yellow"/>
              </w:rPr>
            </w:pPr>
          </w:p>
        </w:tc>
        <w:tc>
          <w:tcPr>
            <w:tcW w:w="4254" w:type="dxa"/>
            <w:shd w:val="clear" w:color="000000" w:fill="FFFFFF"/>
            <w:noWrap w:val="0"/>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白色，可装2个模块</w:t>
            </w:r>
          </w:p>
        </w:tc>
        <w:tc>
          <w:tcPr>
            <w:tcW w:w="600" w:type="dxa"/>
            <w:shd w:val="clear" w:color="000000" w:fill="FFFFFF"/>
            <w:noWrap w:val="0"/>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w:t>
            </w:r>
          </w:p>
        </w:tc>
        <w:tc>
          <w:tcPr>
            <w:tcW w:w="600" w:type="dxa"/>
            <w:shd w:val="clear" w:color="000000" w:fill="FFFFFF"/>
            <w:noWrap w:val="0"/>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80" w:hRule="atLeast"/>
        </w:trPr>
        <w:tc>
          <w:tcPr>
            <w:tcW w:w="600" w:type="dxa"/>
            <w:shd w:val="clear" w:color="auto" w:fill="auto"/>
            <w:noWrap w:val="0"/>
            <w:vAlign w:val="center"/>
          </w:tcPr>
          <w:p>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3</w:t>
            </w:r>
          </w:p>
        </w:tc>
        <w:tc>
          <w:tcPr>
            <w:tcW w:w="1663" w:type="dxa"/>
            <w:shd w:val="clear" w:color="000000" w:fill="FFFFFF"/>
            <w:noWrap w:val="0"/>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六类24口数据配线架(带24个模块)</w:t>
            </w:r>
          </w:p>
        </w:tc>
        <w:tc>
          <w:tcPr>
            <w:tcW w:w="1416" w:type="dxa"/>
            <w:shd w:val="clear" w:color="000000" w:fill="FFFFFF"/>
            <w:noWrap w:val="0"/>
            <w:vAlign w:val="center"/>
          </w:tcPr>
          <w:p>
            <w:pPr>
              <w:widowControl/>
              <w:jc w:val="center"/>
              <w:rPr>
                <w:rFonts w:ascii="仿宋_GB2312" w:hAnsi="宋体" w:eastAsia="仿宋_GB2312" w:cs="宋体"/>
                <w:color w:val="000000"/>
                <w:kern w:val="0"/>
                <w:sz w:val="20"/>
                <w:szCs w:val="20"/>
                <w:highlight w:val="yellow"/>
              </w:rPr>
            </w:pPr>
          </w:p>
        </w:tc>
        <w:tc>
          <w:tcPr>
            <w:tcW w:w="4254" w:type="dxa"/>
            <w:shd w:val="clear" w:color="000000" w:fill="FFFFFF"/>
            <w:noWrap w:val="0"/>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配线架结构：19“标准机柜式安装，24口模块式空架结构；</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材料：平直型钢质架体，钢体厚度≥1.2mm，钢板经脱脂、酸洗、磷化和静电喷塑处理过程。</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维护：端口模块化，单个端口可方便拆装或更换，兼容MDVO接口铜和光模块；</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线缆管理：集成的后部线缆托架方便线缆整理，保证电缆的合理弯曲。</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颜色管理：单独另配的六类模块带有独立彩色标示性防尘盖，11种颜色可选，方便通过颜色进行网络功能划分及管理。</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配线架端口：24口/1U，含24个模块；</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配线架颜色：黑色</w:t>
            </w:r>
          </w:p>
        </w:tc>
        <w:tc>
          <w:tcPr>
            <w:tcW w:w="600" w:type="dxa"/>
            <w:shd w:val="clear" w:color="000000" w:fill="FFFFFF"/>
            <w:noWrap w:val="0"/>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w:t>
            </w:r>
          </w:p>
        </w:tc>
        <w:tc>
          <w:tcPr>
            <w:tcW w:w="600" w:type="dxa"/>
            <w:shd w:val="clear" w:color="000000" w:fill="FFFFFF"/>
            <w:noWrap w:val="0"/>
            <w:vAlign w:val="center"/>
          </w:tcPr>
          <w:p>
            <w:pPr>
              <w:widowControl/>
              <w:jc w:val="center"/>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5" w:hRule="atLeast"/>
        </w:trPr>
        <w:tc>
          <w:tcPr>
            <w:tcW w:w="600" w:type="dxa"/>
            <w:shd w:val="clear" w:color="auto" w:fill="auto"/>
            <w:noWrap w:val="0"/>
            <w:vAlign w:val="center"/>
          </w:tcPr>
          <w:p>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4</w:t>
            </w:r>
          </w:p>
        </w:tc>
        <w:tc>
          <w:tcPr>
            <w:tcW w:w="1663" w:type="dxa"/>
            <w:shd w:val="clear" w:color="000000" w:fill="FFFFFF"/>
            <w:noWrap w:val="0"/>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六类非屏蔽线缆</w:t>
            </w:r>
          </w:p>
        </w:tc>
        <w:tc>
          <w:tcPr>
            <w:tcW w:w="1416" w:type="dxa"/>
            <w:shd w:val="clear" w:color="000000" w:fill="FFFFFF"/>
            <w:noWrap w:val="0"/>
            <w:vAlign w:val="center"/>
          </w:tcPr>
          <w:p>
            <w:pPr>
              <w:widowControl/>
              <w:jc w:val="center"/>
              <w:rPr>
                <w:rFonts w:ascii="仿宋_GB2312" w:hAnsi="宋体" w:eastAsia="仿宋_GB2312" w:cs="宋体"/>
                <w:color w:val="000000"/>
                <w:kern w:val="0"/>
                <w:sz w:val="20"/>
                <w:szCs w:val="20"/>
                <w:highlight w:val="yellow"/>
              </w:rPr>
            </w:pPr>
          </w:p>
        </w:tc>
        <w:tc>
          <w:tcPr>
            <w:tcW w:w="4254" w:type="dxa"/>
            <w:shd w:val="clear" w:color="000000" w:fill="FFFFFF"/>
            <w:noWrap w:val="0"/>
            <w:vAlign w:val="center"/>
          </w:tcPr>
          <w:p>
            <w:pPr>
              <w:widowControl/>
              <w:jc w:val="left"/>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1</w:t>
            </w:r>
            <w:r>
              <w:rPr>
                <w:rFonts w:hint="eastAsia" w:ascii="仿宋_GB2312" w:hAnsi="宋体" w:eastAsia="仿宋_GB2312" w:cs="宋体"/>
                <w:color w:val="000000"/>
                <w:kern w:val="0"/>
                <w:sz w:val="20"/>
                <w:szCs w:val="20"/>
              </w:rPr>
              <w:t>、性能：满足并超过ISO11801第二版E级标准，能提供250MHz可靠信道带宽；</w:t>
            </w:r>
            <w:r>
              <w:rPr>
                <w:rFonts w:hint="eastAsia" w:ascii="仿宋_GB2312" w:hAnsi="宋体" w:eastAsia="仿宋_GB2312" w:cs="宋体"/>
                <w:color w:val="000000"/>
                <w:kern w:val="0"/>
                <w:sz w:val="20"/>
                <w:szCs w:val="20"/>
              </w:rPr>
              <w:br w:type="textWrapping"/>
            </w:r>
            <w:r>
              <w:rPr>
                <w:rFonts w:hint="eastAsia" w:ascii="仿宋_GB2312" w:hAnsi="宋体" w:eastAsia="仿宋_GB2312" w:cs="宋体"/>
                <w:color w:val="000000"/>
                <w:kern w:val="0"/>
                <w:sz w:val="20"/>
                <w:szCs w:val="20"/>
              </w:rPr>
              <w:t>2、结构：非屏蔽4对双绞线，内部带有十字分隔条及剥线绳；十字骨架能够有效抵御施工时的弯曲、盘绕、牵拉、扭绞和踩踏等人为造成电缆性能下降的因素。</w:t>
            </w:r>
            <w:r>
              <w:rPr>
                <w:rFonts w:hint="eastAsia" w:ascii="仿宋_GB2312" w:hAnsi="宋体" w:eastAsia="仿宋_GB2312" w:cs="宋体"/>
                <w:color w:val="000000"/>
                <w:kern w:val="0"/>
                <w:sz w:val="20"/>
                <w:szCs w:val="20"/>
              </w:rPr>
              <w:br w:type="textWrapping"/>
            </w:r>
            <w:r>
              <w:rPr>
                <w:rFonts w:ascii="仿宋_GB2312" w:hAnsi="宋体" w:eastAsia="仿宋_GB2312" w:cs="宋体"/>
                <w:color w:val="000000"/>
                <w:kern w:val="0"/>
                <w:sz w:val="20"/>
                <w:szCs w:val="20"/>
              </w:rPr>
              <w:t>3</w:t>
            </w:r>
            <w:r>
              <w:rPr>
                <w:rFonts w:hint="eastAsia" w:ascii="仿宋_GB2312" w:hAnsi="宋体" w:eastAsia="仿宋_GB2312" w:cs="宋体"/>
                <w:color w:val="000000"/>
                <w:kern w:val="0"/>
                <w:sz w:val="20"/>
                <w:szCs w:val="20"/>
              </w:rPr>
              <w:t>、导体材料：24AWG实心铜线导体；；</w:t>
            </w:r>
            <w:r>
              <w:rPr>
                <w:rFonts w:hint="eastAsia" w:ascii="仿宋_GB2312" w:hAnsi="宋体" w:eastAsia="仿宋_GB2312" w:cs="宋体"/>
                <w:color w:val="000000"/>
                <w:kern w:val="0"/>
                <w:sz w:val="20"/>
                <w:szCs w:val="20"/>
              </w:rPr>
              <w:br w:type="textWrapping"/>
            </w:r>
            <w:r>
              <w:rPr>
                <w:rFonts w:ascii="仿宋_GB2312" w:hAnsi="宋体" w:eastAsia="仿宋_GB2312" w:cs="宋体"/>
                <w:color w:val="000000"/>
                <w:kern w:val="0"/>
                <w:sz w:val="20"/>
                <w:szCs w:val="20"/>
              </w:rPr>
              <w:t>4</w:t>
            </w:r>
            <w:r>
              <w:rPr>
                <w:rFonts w:hint="eastAsia" w:ascii="仿宋_GB2312" w:hAnsi="宋体" w:eastAsia="仿宋_GB2312" w:cs="宋体"/>
                <w:color w:val="000000"/>
                <w:kern w:val="0"/>
                <w:sz w:val="20"/>
                <w:szCs w:val="20"/>
              </w:rPr>
              <w:t>、最大直流电阻（20°C）：9.38Ω/100m；</w:t>
            </w:r>
            <w:r>
              <w:rPr>
                <w:rFonts w:hint="eastAsia" w:ascii="仿宋_GB2312" w:hAnsi="宋体" w:eastAsia="仿宋_GB2312" w:cs="宋体"/>
                <w:color w:val="000000"/>
                <w:kern w:val="0"/>
                <w:sz w:val="20"/>
                <w:szCs w:val="20"/>
              </w:rPr>
              <w:br w:type="textWrapping"/>
            </w:r>
            <w:r>
              <w:rPr>
                <w:rFonts w:ascii="仿宋_GB2312" w:hAnsi="宋体" w:eastAsia="仿宋_GB2312" w:cs="宋体"/>
                <w:color w:val="000000"/>
                <w:kern w:val="0"/>
                <w:sz w:val="20"/>
                <w:szCs w:val="20"/>
              </w:rPr>
              <w:t>5</w:t>
            </w:r>
            <w:r>
              <w:rPr>
                <w:rFonts w:hint="eastAsia" w:ascii="仿宋_GB2312" w:hAnsi="宋体" w:eastAsia="仿宋_GB2312" w:cs="宋体"/>
                <w:color w:val="000000"/>
                <w:kern w:val="0"/>
                <w:sz w:val="20"/>
                <w:szCs w:val="20"/>
              </w:rPr>
              <w:t>、特性阻抗（4-250MHz)：100±15Ω；</w:t>
            </w:r>
          </w:p>
          <w:p>
            <w:pPr>
              <w:widowControl/>
              <w:jc w:val="left"/>
              <w:rPr>
                <w:rFonts w:ascii="仿宋_GB2312" w:hAnsi="宋体" w:eastAsia="仿宋_GB2312" w:cs="宋体"/>
                <w:color w:val="000000"/>
                <w:kern w:val="0"/>
                <w:sz w:val="20"/>
                <w:szCs w:val="20"/>
              </w:rPr>
            </w:pPr>
            <w:r>
              <w:rPr>
                <w:rFonts w:ascii="华文楷体" w:hAnsi="华文楷体" w:eastAsia="华文楷体" w:cs="华文楷体"/>
                <w:szCs w:val="21"/>
              </w:rPr>
              <w:t>6</w:t>
            </w:r>
            <w:r>
              <w:rPr>
                <w:rFonts w:hint="eastAsia" w:ascii="华文楷体" w:hAnsi="华文楷体" w:eastAsia="华文楷体" w:cs="华文楷体"/>
                <w:szCs w:val="21"/>
              </w:rPr>
              <w:t>、▲</w:t>
            </w:r>
            <w:r>
              <w:rPr>
                <w:rFonts w:hint="eastAsia" w:ascii="仿宋_GB2312" w:hAnsi="宋体" w:eastAsia="仿宋_GB2312" w:cs="宋体"/>
                <w:color w:val="000000"/>
                <w:kern w:val="0"/>
                <w:sz w:val="20"/>
                <w:szCs w:val="20"/>
              </w:rPr>
              <w:t>满足防火要求</w:t>
            </w:r>
          </w:p>
          <w:p>
            <w:pPr>
              <w:widowControl/>
              <w:jc w:val="left"/>
              <w:rPr>
                <w:rFonts w:ascii="仿宋_GB2312" w:hAnsi="宋体" w:eastAsia="仿宋_GB2312" w:cs="宋体"/>
                <w:color w:val="000000"/>
                <w:kern w:val="0"/>
                <w:sz w:val="20"/>
                <w:szCs w:val="20"/>
              </w:rPr>
            </w:pPr>
            <w:r>
              <w:rPr>
                <w:rFonts w:ascii="仿宋_GB2312" w:hAnsi="宋体" w:eastAsia="仿宋_GB2312" w:cs="宋体"/>
                <w:color w:val="000000"/>
                <w:kern w:val="0"/>
                <w:sz w:val="20"/>
                <w:szCs w:val="20"/>
              </w:rPr>
              <w:t>7</w:t>
            </w:r>
            <w:r>
              <w:rPr>
                <w:rFonts w:hint="eastAsia" w:ascii="仿宋_GB2312" w:hAnsi="宋体" w:eastAsia="仿宋_GB2312" w:cs="宋体"/>
                <w:color w:val="000000"/>
                <w:kern w:val="0"/>
                <w:sz w:val="20"/>
                <w:szCs w:val="20"/>
              </w:rPr>
              <w:t>、</w:t>
            </w:r>
            <w:r>
              <w:rPr>
                <w:rFonts w:hint="eastAsia" w:ascii="华文楷体" w:hAnsi="华文楷体" w:eastAsia="华文楷体" w:cs="华文楷体"/>
                <w:color w:val="000000"/>
                <w:kern w:val="0"/>
                <w:sz w:val="20"/>
                <w:szCs w:val="20"/>
              </w:rPr>
              <w:t>▲</w:t>
            </w:r>
            <w:r>
              <w:rPr>
                <w:rFonts w:hint="eastAsia" w:ascii="仿宋_GB2312" w:hAnsi="宋体" w:eastAsia="仿宋_GB2312" w:cs="宋体"/>
                <w:color w:val="000000"/>
                <w:kern w:val="0"/>
                <w:sz w:val="20"/>
                <w:szCs w:val="20"/>
              </w:rPr>
              <w:t>提供检测报告</w:t>
            </w:r>
          </w:p>
        </w:tc>
        <w:tc>
          <w:tcPr>
            <w:tcW w:w="600" w:type="dxa"/>
            <w:shd w:val="clear" w:color="000000" w:fill="FFFFFF"/>
            <w:noWrap w:val="0"/>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箱</w:t>
            </w:r>
          </w:p>
        </w:tc>
        <w:tc>
          <w:tcPr>
            <w:tcW w:w="600" w:type="dxa"/>
            <w:shd w:val="clear" w:color="000000" w:fill="FFFFFF"/>
            <w:noWrap w:val="0"/>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5" w:hRule="atLeast"/>
        </w:trPr>
        <w:tc>
          <w:tcPr>
            <w:tcW w:w="600" w:type="dxa"/>
            <w:shd w:val="clear" w:color="auto" w:fill="auto"/>
            <w:noWrap w:val="0"/>
            <w:vAlign w:val="center"/>
          </w:tcPr>
          <w:p>
            <w:pPr>
              <w:widowControl/>
              <w:jc w:val="center"/>
              <w:rPr>
                <w:rFonts w:hint="eastAsia" w:ascii="Calibri" w:hAnsi="Calibri" w:eastAsia="宋体" w:cs="Calibri"/>
                <w:color w:val="000000"/>
                <w:kern w:val="0"/>
                <w:sz w:val="18"/>
                <w:szCs w:val="18"/>
                <w:lang w:val="en-US" w:eastAsia="zh-CN"/>
              </w:rPr>
            </w:pPr>
            <w:r>
              <w:rPr>
                <w:rFonts w:hint="eastAsia" w:ascii="Calibri" w:hAnsi="Calibri" w:eastAsia="宋体" w:cs="Calibri"/>
                <w:color w:val="000000"/>
                <w:kern w:val="0"/>
                <w:sz w:val="18"/>
                <w:szCs w:val="18"/>
                <w:lang w:val="en-US" w:eastAsia="zh-CN"/>
              </w:rPr>
              <w:t>5</w:t>
            </w:r>
          </w:p>
        </w:tc>
        <w:tc>
          <w:tcPr>
            <w:tcW w:w="1663" w:type="dxa"/>
            <w:shd w:val="clear" w:color="auto" w:fill="auto"/>
            <w:noWrap w:val="0"/>
            <w:vAlign w:val="center"/>
          </w:tcPr>
          <w:p>
            <w:pPr>
              <w:widowControl/>
              <w:jc w:val="lef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六类网络跳线</w:t>
            </w:r>
          </w:p>
        </w:tc>
        <w:tc>
          <w:tcPr>
            <w:tcW w:w="1416" w:type="dxa"/>
            <w:shd w:val="clear" w:color="000000" w:fill="FFFFFF"/>
            <w:noWrap w:val="0"/>
            <w:vAlign w:val="center"/>
          </w:tcPr>
          <w:p>
            <w:pPr>
              <w:widowControl/>
              <w:jc w:val="center"/>
              <w:rPr>
                <w:rFonts w:hint="eastAsia" w:ascii="仿宋_GB2312" w:hAnsi="宋体" w:eastAsia="仿宋_GB2312" w:cs="宋体"/>
                <w:color w:val="000000"/>
                <w:kern w:val="0"/>
                <w:sz w:val="20"/>
                <w:szCs w:val="20"/>
                <w:highlight w:val="yellow"/>
              </w:rPr>
            </w:pPr>
          </w:p>
        </w:tc>
        <w:tc>
          <w:tcPr>
            <w:tcW w:w="4254" w:type="dxa"/>
            <w:shd w:val="clear" w:color="auto" w:fill="auto"/>
            <w:noWrap w:val="0"/>
            <w:vAlign w:val="center"/>
          </w:tcPr>
          <w:p>
            <w:pPr>
              <w:widowControl/>
              <w:jc w:val="lef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1米六类网络跳线</w:t>
            </w:r>
          </w:p>
        </w:tc>
        <w:tc>
          <w:tcPr>
            <w:tcW w:w="600" w:type="dxa"/>
            <w:shd w:val="clear" w:color="000000" w:fill="FFFFFF"/>
            <w:noWrap w:val="0"/>
            <w:vAlign w:val="center"/>
          </w:tcPr>
          <w:p>
            <w:pPr>
              <w:widowControl/>
              <w:jc w:val="center"/>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根</w:t>
            </w:r>
          </w:p>
        </w:tc>
        <w:tc>
          <w:tcPr>
            <w:tcW w:w="600" w:type="dxa"/>
            <w:shd w:val="clear" w:color="000000" w:fill="FFFFFF"/>
            <w:noWrap w:val="0"/>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5" w:hRule="atLeast"/>
        </w:trPr>
        <w:tc>
          <w:tcPr>
            <w:tcW w:w="600" w:type="dxa"/>
            <w:shd w:val="clear" w:color="auto" w:fill="auto"/>
            <w:noWrap w:val="0"/>
            <w:vAlign w:val="center"/>
          </w:tcPr>
          <w:p>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6</w:t>
            </w:r>
          </w:p>
        </w:tc>
        <w:tc>
          <w:tcPr>
            <w:tcW w:w="1663" w:type="dxa"/>
            <w:shd w:val="clear" w:color="000000" w:fill="FFFFFF"/>
            <w:noWrap w:val="0"/>
            <w:vAlign w:val="center"/>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理线架</w:t>
            </w:r>
          </w:p>
        </w:tc>
        <w:tc>
          <w:tcPr>
            <w:tcW w:w="1416" w:type="dxa"/>
            <w:shd w:val="clear" w:color="000000" w:fill="FFFFFF"/>
            <w:noWrap w:val="0"/>
            <w:vAlign w:val="center"/>
          </w:tcPr>
          <w:p>
            <w:pPr>
              <w:widowControl/>
              <w:jc w:val="center"/>
              <w:rPr>
                <w:rFonts w:ascii="仿宋_GB2312" w:hAnsi="宋体" w:eastAsia="仿宋_GB2312" w:cs="宋体"/>
                <w:color w:val="000000"/>
                <w:kern w:val="0"/>
                <w:sz w:val="20"/>
                <w:szCs w:val="20"/>
                <w:highlight w:val="yellow"/>
              </w:rPr>
            </w:pPr>
          </w:p>
        </w:tc>
        <w:tc>
          <w:tcPr>
            <w:tcW w:w="4254" w:type="dxa"/>
            <w:shd w:val="clear" w:color="000000" w:fill="FFFFFF"/>
            <w:noWrap/>
            <w:vAlign w:val="bottom"/>
          </w:tcPr>
          <w:p>
            <w:pPr>
              <w:widowControl/>
              <w:jc w:val="left"/>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高度1U，黑色</w:t>
            </w:r>
          </w:p>
        </w:tc>
        <w:tc>
          <w:tcPr>
            <w:tcW w:w="600" w:type="dxa"/>
            <w:shd w:val="clear" w:color="000000" w:fill="FFFFFF"/>
            <w:noWrap w:val="0"/>
            <w:vAlign w:val="center"/>
          </w:tcPr>
          <w:p>
            <w:pPr>
              <w:widowControl/>
              <w:jc w:val="center"/>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个</w:t>
            </w:r>
          </w:p>
        </w:tc>
        <w:tc>
          <w:tcPr>
            <w:tcW w:w="600" w:type="dxa"/>
            <w:shd w:val="clear" w:color="000000" w:fill="FFFFFF"/>
            <w:noWrap w:val="0"/>
            <w:vAlign w:val="center"/>
          </w:tcPr>
          <w:p>
            <w:pPr>
              <w:widowControl/>
              <w:jc w:val="center"/>
              <w:rPr>
                <w:rFonts w:hint="eastAsia" w:ascii="仿宋_GB2312" w:hAnsi="宋体" w:eastAsia="仿宋_GB2312" w:cs="宋体"/>
                <w:color w:val="000000"/>
                <w:kern w:val="0"/>
                <w:sz w:val="20"/>
                <w:szCs w:val="20"/>
                <w:lang w:eastAsia="zh-CN"/>
              </w:rPr>
            </w:pPr>
            <w:r>
              <w:rPr>
                <w:rFonts w:hint="eastAsia" w:ascii="仿宋_GB2312" w:hAnsi="宋体" w:eastAsia="仿宋_GB2312" w:cs="宋体"/>
                <w:color w:val="000000"/>
                <w:kern w:val="0"/>
                <w:sz w:val="20"/>
                <w:szCs w:val="2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5" w:hRule="atLeast"/>
        </w:trPr>
        <w:tc>
          <w:tcPr>
            <w:tcW w:w="600" w:type="dxa"/>
            <w:shd w:val="clear" w:color="auto" w:fill="auto"/>
            <w:noWrap w:val="0"/>
            <w:vAlign w:val="center"/>
          </w:tcPr>
          <w:p>
            <w:pPr>
              <w:widowControl/>
              <w:jc w:val="center"/>
              <w:rPr>
                <w:rFonts w:ascii="Calibri" w:hAnsi="Calibri" w:eastAsia="宋体" w:cs="Calibri"/>
                <w:color w:val="000000"/>
                <w:kern w:val="0"/>
                <w:sz w:val="18"/>
                <w:szCs w:val="18"/>
              </w:rPr>
            </w:pPr>
            <w:r>
              <w:rPr>
                <w:rFonts w:ascii="Calibri" w:hAnsi="Calibri" w:eastAsia="宋体" w:cs="Calibri"/>
                <w:color w:val="000000"/>
                <w:kern w:val="0"/>
                <w:sz w:val="18"/>
                <w:szCs w:val="18"/>
              </w:rPr>
              <w:t>7</w:t>
            </w:r>
          </w:p>
        </w:tc>
        <w:tc>
          <w:tcPr>
            <w:tcW w:w="1663" w:type="dxa"/>
            <w:shd w:val="clear" w:color="000000" w:fill="FFFFFF"/>
            <w:noWrap w:val="0"/>
            <w:vAlign w:val="center"/>
          </w:tcPr>
          <w:p>
            <w:pPr>
              <w:widowControl/>
              <w:jc w:val="lef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网线施工费</w:t>
            </w:r>
          </w:p>
        </w:tc>
        <w:tc>
          <w:tcPr>
            <w:tcW w:w="1416" w:type="dxa"/>
            <w:shd w:val="clear" w:color="000000" w:fill="FFFFFF"/>
            <w:noWrap w:val="0"/>
            <w:vAlign w:val="center"/>
          </w:tcPr>
          <w:p>
            <w:pPr>
              <w:widowControl/>
              <w:jc w:val="center"/>
              <w:rPr>
                <w:rFonts w:ascii="仿宋_GB2312" w:hAnsi="宋体" w:eastAsia="仿宋_GB2312" w:cs="宋体"/>
                <w:color w:val="000000"/>
                <w:kern w:val="0"/>
                <w:sz w:val="20"/>
                <w:szCs w:val="20"/>
                <w:highlight w:val="yellow"/>
              </w:rPr>
            </w:pPr>
          </w:p>
        </w:tc>
        <w:tc>
          <w:tcPr>
            <w:tcW w:w="4254" w:type="dxa"/>
            <w:shd w:val="clear" w:color="000000" w:fill="FFFFFF"/>
            <w:noWrap/>
            <w:vAlign w:val="bottom"/>
          </w:tcPr>
          <w:p>
            <w:pPr>
              <w:widowControl/>
              <w:jc w:val="lef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穿线、测试、模块、标识，系统上线等实施</w:t>
            </w:r>
          </w:p>
        </w:tc>
        <w:tc>
          <w:tcPr>
            <w:tcW w:w="600" w:type="dxa"/>
            <w:shd w:val="clear" w:color="000000" w:fill="FFFFFF"/>
            <w:noWrap w:val="0"/>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点</w:t>
            </w:r>
          </w:p>
        </w:tc>
        <w:tc>
          <w:tcPr>
            <w:tcW w:w="600" w:type="dxa"/>
            <w:shd w:val="clear" w:color="000000" w:fill="FFFFFF"/>
            <w:noWrap w:val="0"/>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85" w:hRule="atLeast"/>
        </w:trPr>
        <w:tc>
          <w:tcPr>
            <w:tcW w:w="600" w:type="dxa"/>
            <w:shd w:val="clear" w:color="auto" w:fill="auto"/>
            <w:noWrap w:val="0"/>
            <w:vAlign w:val="center"/>
          </w:tcPr>
          <w:p>
            <w:pPr>
              <w:widowControl/>
              <w:jc w:val="center"/>
              <w:rPr>
                <w:rFonts w:hint="eastAsia" w:ascii="Calibri" w:hAnsi="Calibri" w:eastAsia="宋体" w:cs="Calibri"/>
                <w:color w:val="000000"/>
                <w:kern w:val="0"/>
                <w:sz w:val="18"/>
                <w:szCs w:val="18"/>
                <w:lang w:val="en-US" w:eastAsia="zh-CN"/>
              </w:rPr>
            </w:pPr>
            <w:r>
              <w:rPr>
                <w:rFonts w:hint="eastAsia" w:ascii="Calibri" w:hAnsi="Calibri" w:eastAsia="宋体" w:cs="Calibri"/>
                <w:color w:val="000000"/>
                <w:kern w:val="0"/>
                <w:sz w:val="18"/>
                <w:szCs w:val="18"/>
                <w:lang w:val="en-US" w:eastAsia="zh-CN"/>
              </w:rPr>
              <w:t>8</w:t>
            </w:r>
          </w:p>
        </w:tc>
        <w:tc>
          <w:tcPr>
            <w:tcW w:w="1663" w:type="dxa"/>
            <w:shd w:val="clear" w:color="000000" w:fill="FFFFFF"/>
            <w:noWrap w:val="0"/>
            <w:vAlign w:val="center"/>
          </w:tcPr>
          <w:p>
            <w:pPr>
              <w:widowControl/>
              <w:jc w:val="left"/>
              <w:rPr>
                <w:rFonts w:hint="eastAsia"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辅材</w:t>
            </w:r>
          </w:p>
        </w:tc>
        <w:tc>
          <w:tcPr>
            <w:tcW w:w="1416" w:type="dxa"/>
            <w:shd w:val="clear" w:color="000000" w:fill="FFFFFF"/>
            <w:noWrap w:val="0"/>
            <w:vAlign w:val="center"/>
          </w:tcPr>
          <w:p>
            <w:pPr>
              <w:widowControl/>
              <w:jc w:val="center"/>
              <w:rPr>
                <w:rFonts w:ascii="仿宋_GB2312" w:hAnsi="宋体" w:eastAsia="仿宋_GB2312" w:cs="宋体"/>
                <w:color w:val="000000"/>
                <w:kern w:val="0"/>
                <w:sz w:val="20"/>
                <w:szCs w:val="20"/>
                <w:highlight w:val="yellow"/>
              </w:rPr>
            </w:pPr>
          </w:p>
        </w:tc>
        <w:tc>
          <w:tcPr>
            <w:tcW w:w="4254" w:type="dxa"/>
            <w:shd w:val="clear" w:color="000000" w:fill="FFFFFF"/>
            <w:noWrap/>
            <w:vAlign w:val="bottom"/>
          </w:tcPr>
          <w:p>
            <w:pPr>
              <w:widowControl/>
              <w:jc w:val="left"/>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水晶头、扎带、胶布、标签等</w:t>
            </w:r>
          </w:p>
        </w:tc>
        <w:tc>
          <w:tcPr>
            <w:tcW w:w="600" w:type="dxa"/>
            <w:shd w:val="clear" w:color="000000" w:fill="FFFFFF"/>
            <w:noWrap w:val="0"/>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项</w:t>
            </w:r>
          </w:p>
        </w:tc>
        <w:tc>
          <w:tcPr>
            <w:tcW w:w="600" w:type="dxa"/>
            <w:shd w:val="clear" w:color="000000" w:fill="FFFFFF"/>
            <w:noWrap w:val="0"/>
            <w:vAlign w:val="center"/>
          </w:tcPr>
          <w:p>
            <w:pPr>
              <w:widowControl/>
              <w:jc w:val="center"/>
              <w:rPr>
                <w:rFonts w:hint="default" w:ascii="仿宋_GB2312" w:hAnsi="宋体" w:eastAsia="仿宋_GB2312" w:cs="宋体"/>
                <w:color w:val="000000"/>
                <w:kern w:val="0"/>
                <w:sz w:val="20"/>
                <w:szCs w:val="20"/>
                <w:lang w:val="en-US" w:eastAsia="zh-CN"/>
              </w:rPr>
            </w:pPr>
            <w:r>
              <w:rPr>
                <w:rFonts w:hint="eastAsia" w:ascii="仿宋_GB2312" w:hAnsi="宋体" w:eastAsia="仿宋_GB2312" w:cs="宋体"/>
                <w:color w:val="000000"/>
                <w:kern w:val="0"/>
                <w:sz w:val="20"/>
                <w:szCs w:val="20"/>
                <w:lang w:val="en-US" w:eastAsia="zh-CN"/>
              </w:rPr>
              <w:t>1</w:t>
            </w:r>
          </w:p>
        </w:tc>
      </w:tr>
    </w:tbl>
    <w:p/>
    <w:p/>
    <w:p/>
    <w:p>
      <w:pPr>
        <w:rPr>
          <w:b/>
          <w:sz w:val="28"/>
          <w:szCs w:val="22"/>
        </w:rPr>
      </w:pPr>
    </w:p>
    <w:p>
      <w:pPr>
        <w:rPr>
          <w:b/>
          <w:sz w:val="28"/>
          <w:szCs w:val="22"/>
        </w:rPr>
        <w:sectPr>
          <w:pgSz w:w="11906" w:h="16838"/>
          <w:pgMar w:top="1440" w:right="1800" w:bottom="1440" w:left="1800" w:header="851" w:footer="992" w:gutter="0"/>
          <w:cols w:space="425" w:num="1"/>
          <w:docGrid w:type="lines" w:linePitch="312" w:charSpace="0"/>
        </w:sectPr>
      </w:pPr>
    </w:p>
    <w:p>
      <w:pPr>
        <w:pStyle w:val="2"/>
        <w:rPr>
          <w:rFonts w:ascii="方正楷体_GBK" w:hAnsi="方正楷体_GBK" w:eastAsia="方正楷体_GBK" w:cs="方正楷体_GBK"/>
          <w:sz w:val="28"/>
          <w:szCs w:val="22"/>
        </w:rPr>
      </w:pPr>
      <w:bookmarkStart w:id="18" w:name="_Toc138771429"/>
      <w:r>
        <w:rPr>
          <w:rFonts w:hint="eastAsia" w:ascii="方正楷体_GBK" w:hAnsi="方正楷体_GBK" w:eastAsia="方正楷体_GBK" w:cs="方正楷体_GBK"/>
          <w:sz w:val="28"/>
          <w:szCs w:val="22"/>
        </w:rPr>
        <w:t>第</w:t>
      </w:r>
      <w:r>
        <w:rPr>
          <w:rFonts w:hint="eastAsia" w:ascii="方正楷体_GBK" w:hAnsi="方正楷体_GBK" w:eastAsia="方正楷体_GBK" w:cs="方正楷体_GBK"/>
          <w:sz w:val="28"/>
          <w:szCs w:val="22"/>
          <w:lang w:eastAsia="zh-CN"/>
        </w:rPr>
        <w:t>五</w:t>
      </w:r>
      <w:r>
        <w:rPr>
          <w:rFonts w:hint="eastAsia" w:ascii="方正楷体_GBK" w:hAnsi="方正楷体_GBK" w:eastAsia="方正楷体_GBK" w:cs="方正楷体_GBK"/>
          <w:sz w:val="28"/>
          <w:szCs w:val="22"/>
        </w:rPr>
        <w:t>章  资格评审标准</w:t>
      </w:r>
      <w:bookmarkEnd w:id="18"/>
    </w:p>
    <w:p>
      <w:pPr>
        <w:spacing w:line="360" w:lineRule="auto"/>
        <w:rPr>
          <w:rFonts w:ascii="华文楷体" w:hAnsi="华文楷体" w:eastAsia="华文楷体" w:cs="华文楷体"/>
          <w:sz w:val="24"/>
        </w:rPr>
      </w:pPr>
      <w:r>
        <w:rPr>
          <w:rFonts w:ascii="华文楷体" w:hAnsi="华文楷体" w:eastAsia="华文楷体" w:cs="华文楷体"/>
          <w:sz w:val="24"/>
        </w:rPr>
        <w:t>投标文件出现不满足下列各项评审内容及标准要求之一的，则资格评审为不合格。合格投标人不足3家的，不得评标</w:t>
      </w:r>
      <w:r>
        <w:rPr>
          <w:rFonts w:hint="eastAsia" w:ascii="华文楷体" w:hAnsi="华文楷体" w:eastAsia="华文楷体" w:cs="华文楷体"/>
          <w:sz w:val="24"/>
        </w:rPr>
        <w:t>（非二次公示）</w:t>
      </w:r>
      <w:r>
        <w:rPr>
          <w:rFonts w:ascii="华文楷体" w:hAnsi="华文楷体" w:eastAsia="华文楷体" w:cs="华文楷体"/>
          <w:sz w:val="24"/>
        </w:rPr>
        <w:t>。下列各项评审内容及标准均为招标文件的实质性要求，投标文件响应各款所列材料在开标后不得澄清、后补。</w:t>
      </w:r>
    </w:p>
    <w:tbl>
      <w:tblPr>
        <w:tblStyle w:val="12"/>
        <w:tblW w:w="10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81"/>
        <w:gridCol w:w="8737"/>
        <w:gridCol w:w="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33" w:hRule="atLeast"/>
          <w:tblHeader/>
          <w:jc w:val="center"/>
        </w:trPr>
        <w:tc>
          <w:tcPr>
            <w:tcW w:w="1276"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评审程序</w:t>
            </w:r>
          </w:p>
        </w:tc>
        <w:tc>
          <w:tcPr>
            <w:tcW w:w="9518" w:type="dxa"/>
            <w:gridSpan w:val="2"/>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533" w:hRule="atLeast"/>
          <w:tblHeader/>
          <w:jc w:val="center"/>
        </w:trPr>
        <w:tc>
          <w:tcPr>
            <w:tcW w:w="1276" w:type="dxa"/>
            <w:vMerge w:val="restart"/>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sz w:val="24"/>
              </w:rPr>
              <w:t>资格评审标准</w:t>
            </w:r>
          </w:p>
        </w:tc>
        <w:tc>
          <w:tcPr>
            <w:tcW w:w="781"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1</w:t>
            </w:r>
          </w:p>
        </w:tc>
        <w:tc>
          <w:tcPr>
            <w:tcW w:w="8737" w:type="dxa"/>
            <w:vAlign w:val="center"/>
          </w:tcPr>
          <w:p>
            <w:pPr>
              <w:spacing w:before="100" w:beforeAutospacing="1" w:after="100" w:afterAutospacing="1" w:line="360" w:lineRule="auto"/>
              <w:jc w:val="left"/>
              <w:rPr>
                <w:rFonts w:ascii="华文楷体" w:hAnsi="华文楷体" w:eastAsia="华文楷体" w:cs="华文楷体"/>
                <w:b/>
                <w:sz w:val="24"/>
              </w:rPr>
            </w:pPr>
            <w:r>
              <w:rPr>
                <w:rFonts w:hint="eastAsia" w:ascii="华文楷体" w:hAnsi="华文楷体" w:eastAsia="华文楷体" w:cs="华文楷体"/>
                <w:b/>
                <w:sz w:val="24"/>
              </w:rPr>
              <w:t>投标人应具备《中华人民共和国政府采购法》第二十二条规定的条件，并提供下列材料：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62" w:hRule="atLeast"/>
          <w:jc w:val="center"/>
        </w:trPr>
        <w:tc>
          <w:tcPr>
            <w:tcW w:w="1276" w:type="dxa"/>
            <w:vMerge w:val="continue"/>
            <w:vAlign w:val="center"/>
          </w:tcPr>
          <w:p>
            <w:pPr>
              <w:spacing w:before="100" w:beforeAutospacing="1" w:after="100" w:afterAutospacing="1" w:line="360" w:lineRule="auto"/>
              <w:jc w:val="center"/>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1.1</w:t>
            </w:r>
          </w:p>
        </w:tc>
        <w:tc>
          <w:tcPr>
            <w:tcW w:w="8737" w:type="dxa"/>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sz w:val="24"/>
              </w:rPr>
              <w:t>投标人必须具备独立承担民事责任的能力，提供法人或者其他组织的营业执照等证明文件；投标人是自然人的，提供自然人身份证明（扫描件加盖电子公章）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62" w:hRule="atLeast"/>
          <w:jc w:val="center"/>
        </w:trPr>
        <w:tc>
          <w:tcPr>
            <w:tcW w:w="1276" w:type="dxa"/>
            <w:vMerge w:val="continue"/>
            <w:vAlign w:val="center"/>
          </w:tcPr>
          <w:p>
            <w:pPr>
              <w:spacing w:before="100" w:beforeAutospacing="1" w:after="100" w:afterAutospacing="1" w:line="360" w:lineRule="auto"/>
              <w:jc w:val="center"/>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1.2</w:t>
            </w:r>
          </w:p>
        </w:tc>
        <w:tc>
          <w:tcPr>
            <w:tcW w:w="8737" w:type="dxa"/>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sz w:val="24"/>
              </w:rPr>
              <w:t>投标人须提供财务状况报告，内容可为以下三者之一：1）近三个月内基本开户银行出具的资信证明（扫描件加盖电子公章）2）20</w:t>
            </w:r>
            <w:r>
              <w:rPr>
                <w:rFonts w:ascii="华文楷体" w:hAnsi="华文楷体" w:eastAsia="华文楷体" w:cs="华文楷体"/>
                <w:sz w:val="24"/>
              </w:rPr>
              <w:t>2</w:t>
            </w:r>
            <w:r>
              <w:rPr>
                <w:rFonts w:hint="eastAsia" w:ascii="华文楷体" w:hAnsi="华文楷体" w:eastAsia="华文楷体" w:cs="华文楷体"/>
                <w:sz w:val="24"/>
                <w:lang w:val="en-US" w:eastAsia="zh-CN"/>
              </w:rPr>
              <w:t>1</w:t>
            </w:r>
            <w:r>
              <w:rPr>
                <w:rFonts w:hint="eastAsia" w:ascii="华文楷体" w:hAnsi="华文楷体" w:eastAsia="华文楷体" w:cs="华文楷体"/>
                <w:sz w:val="24"/>
              </w:rPr>
              <w:t>年-202</w:t>
            </w:r>
            <w:r>
              <w:rPr>
                <w:rFonts w:hint="eastAsia" w:ascii="华文楷体" w:hAnsi="华文楷体" w:eastAsia="华文楷体" w:cs="华文楷体"/>
                <w:sz w:val="24"/>
                <w:lang w:val="en-US" w:eastAsia="zh-CN"/>
              </w:rPr>
              <w:t>3</w:t>
            </w:r>
            <w:r>
              <w:rPr>
                <w:rFonts w:hint="eastAsia" w:ascii="华文楷体" w:hAnsi="华文楷体" w:eastAsia="华文楷体" w:cs="华文楷体"/>
                <w:sz w:val="24"/>
              </w:rPr>
              <w:t>年任意一年度经审计的财务审计报告，包括“四表一注”，即资产负债表、利润表、现金流量表、所有者权益变动表及其附注（扫描件加盖电子公章）；3）财政部门认可的政府采购专业担保机构出具的投标担保函，须同时提供专业担保机构经财政部门认可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6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1.3</w:t>
            </w:r>
          </w:p>
        </w:tc>
        <w:tc>
          <w:tcPr>
            <w:tcW w:w="8737" w:type="dxa"/>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sz w:val="24"/>
              </w:rPr>
              <w:t>纳税证明材料的时间范围：缴税所属时间在202</w:t>
            </w:r>
            <w:r>
              <w:rPr>
                <w:rFonts w:hint="eastAsia" w:ascii="华文楷体" w:hAnsi="华文楷体" w:eastAsia="华文楷体" w:cs="华文楷体"/>
                <w:sz w:val="24"/>
                <w:lang w:val="en-US" w:eastAsia="zh-CN"/>
              </w:rPr>
              <w:t>4</w:t>
            </w:r>
            <w:r>
              <w:rPr>
                <w:rFonts w:hint="eastAsia" w:ascii="华文楷体" w:hAnsi="华文楷体" w:eastAsia="华文楷体" w:cs="华文楷体"/>
                <w:sz w:val="24"/>
              </w:rPr>
              <w:t>年</w:t>
            </w:r>
            <w:r>
              <w:rPr>
                <w:rFonts w:hint="eastAsia" w:ascii="华文楷体" w:hAnsi="华文楷体" w:eastAsia="华文楷体" w:cs="华文楷体"/>
                <w:sz w:val="24"/>
                <w:u w:val="single"/>
              </w:rPr>
              <w:t>1</w:t>
            </w:r>
            <w:r>
              <w:rPr>
                <w:rFonts w:hint="eastAsia" w:ascii="华文楷体" w:hAnsi="华文楷体" w:eastAsia="华文楷体" w:cs="华文楷体"/>
                <w:sz w:val="24"/>
              </w:rPr>
              <w:t>月至投标截止日期前任意2个月的税务局税收通用缴款书扫描件或银行电子缴税（费）凭证扫描件或税务局出具纳税情况的相关证明扫描件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6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1.4</w:t>
            </w:r>
          </w:p>
        </w:tc>
        <w:tc>
          <w:tcPr>
            <w:tcW w:w="8737" w:type="dxa"/>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sz w:val="24"/>
              </w:rPr>
              <w:t>缴纳社会保险证明材料的时间范围：缴费所属时间在202</w:t>
            </w:r>
            <w:r>
              <w:rPr>
                <w:rFonts w:hint="eastAsia" w:ascii="华文楷体" w:hAnsi="华文楷体" w:eastAsia="华文楷体" w:cs="华文楷体"/>
                <w:sz w:val="24"/>
                <w:lang w:val="en-US" w:eastAsia="zh-CN"/>
              </w:rPr>
              <w:t>4</w:t>
            </w:r>
            <w:r>
              <w:rPr>
                <w:rFonts w:hint="eastAsia" w:ascii="华文楷体" w:hAnsi="华文楷体" w:eastAsia="华文楷体" w:cs="华文楷体"/>
                <w:sz w:val="24"/>
              </w:rPr>
              <w:t>年</w:t>
            </w:r>
            <w:r>
              <w:rPr>
                <w:rFonts w:hint="eastAsia" w:ascii="华文楷体" w:hAnsi="华文楷体" w:eastAsia="华文楷体" w:cs="华文楷体"/>
                <w:sz w:val="24"/>
                <w:u w:val="single"/>
              </w:rPr>
              <w:t>1</w:t>
            </w:r>
            <w:r>
              <w:rPr>
                <w:rFonts w:hint="eastAsia" w:ascii="华文楷体" w:hAnsi="华文楷体" w:eastAsia="华文楷体" w:cs="华文楷体"/>
                <w:sz w:val="24"/>
              </w:rPr>
              <w:t>月至投标截止日期前任意2个月的社会保险费缴款书扫描件或银行电子缴税（费）凭证扫描件或社保管理部门出具的有效的缴款证明扫描件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354"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1.5</w:t>
            </w:r>
          </w:p>
        </w:tc>
        <w:tc>
          <w:tcPr>
            <w:tcW w:w="8737" w:type="dxa"/>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sz w:val="24"/>
              </w:rPr>
              <w:t>投标人须提供具备履行合同所必需的设备和专业技术能力的证明材料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6" w:type="dxa"/>
          <w:trHeight w:val="66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hint="eastAsia" w:ascii="华文楷体" w:hAnsi="华文楷体" w:eastAsia="华文楷体" w:cs="华文楷体"/>
                <w:sz w:val="24"/>
              </w:rPr>
              <w:t>1.6</w:t>
            </w:r>
          </w:p>
        </w:tc>
        <w:tc>
          <w:tcPr>
            <w:tcW w:w="8737" w:type="dxa"/>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sz w:val="24"/>
              </w:rPr>
              <w:t>投标人必须提供参加政府采购活动前3年内在经营活动中没有重大违法记录的书面声明（重大违法记录，是指供应商因违法经营受到刑事处罚或者责令停产停业、吊销许可证或者执照、较大数额罚款等行政处罚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1276"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评审程序</w:t>
            </w:r>
          </w:p>
        </w:tc>
        <w:tc>
          <w:tcPr>
            <w:tcW w:w="9614" w:type="dxa"/>
            <w:gridSpan w:val="3"/>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276" w:type="dxa"/>
            <w:vMerge w:val="restart"/>
            <w:vAlign w:val="center"/>
          </w:tcPr>
          <w:p>
            <w:pPr>
              <w:spacing w:before="100" w:beforeAutospacing="1" w:after="100" w:afterAutospacing="1" w:line="360" w:lineRule="auto"/>
              <w:rPr>
                <w:rFonts w:ascii="华文楷体" w:hAnsi="华文楷体" w:eastAsia="华文楷体" w:cs="华文楷体"/>
                <w:sz w:val="24"/>
              </w:rPr>
            </w:pPr>
            <w:r>
              <w:rPr>
                <w:rFonts w:hint="eastAsia" w:ascii="华文楷体" w:hAnsi="华文楷体" w:eastAsia="华文楷体" w:cs="华文楷体"/>
                <w:sz w:val="24"/>
              </w:rPr>
              <w:t>资格评审标准</w:t>
            </w:r>
          </w:p>
        </w:tc>
        <w:tc>
          <w:tcPr>
            <w:tcW w:w="781" w:type="dxa"/>
            <w:vAlign w:val="center"/>
          </w:tcPr>
          <w:p>
            <w:pPr>
              <w:spacing w:before="100" w:beforeAutospacing="1" w:after="100" w:afterAutospacing="1" w:line="360" w:lineRule="auto"/>
              <w:jc w:val="center"/>
              <w:rPr>
                <w:rFonts w:ascii="华文楷体" w:hAnsi="华文楷体" w:eastAsia="华文楷体" w:cs="华文楷体"/>
                <w:b/>
                <w:sz w:val="24"/>
              </w:rPr>
            </w:pPr>
            <w:r>
              <w:rPr>
                <w:rFonts w:hint="eastAsia" w:ascii="华文楷体" w:hAnsi="华文楷体" w:eastAsia="华文楷体" w:cs="华文楷体"/>
                <w:b/>
                <w:sz w:val="24"/>
              </w:rPr>
              <w:t>2</w:t>
            </w:r>
          </w:p>
        </w:tc>
        <w:tc>
          <w:tcPr>
            <w:tcW w:w="8833" w:type="dxa"/>
            <w:gridSpan w:val="2"/>
            <w:vAlign w:val="center"/>
          </w:tcPr>
          <w:p>
            <w:pPr>
              <w:spacing w:before="100" w:beforeAutospacing="1" w:after="100" w:afterAutospacing="1" w:line="360" w:lineRule="auto"/>
              <w:jc w:val="left"/>
              <w:rPr>
                <w:rFonts w:ascii="华文楷体" w:hAnsi="华文楷体" w:eastAsia="华文楷体" w:cs="华文楷体"/>
                <w:b/>
                <w:sz w:val="24"/>
              </w:rPr>
            </w:pPr>
            <w:r>
              <w:rPr>
                <w:rFonts w:hint="eastAsia" w:ascii="华文楷体" w:hAnsi="华文楷体" w:eastAsia="华文楷体" w:cs="华文楷体"/>
                <w:b/>
                <w:sz w:val="24"/>
              </w:rPr>
              <w:t>投标人应符合采购人根据采购项目的特殊要求规定的特定条件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ascii="华文楷体" w:hAnsi="华文楷体" w:eastAsia="华文楷体" w:cs="华文楷体"/>
                <w:sz w:val="24"/>
              </w:rPr>
              <w:t>1</w:t>
            </w:r>
          </w:p>
        </w:tc>
        <w:tc>
          <w:tcPr>
            <w:tcW w:w="8833" w:type="dxa"/>
            <w:gridSpan w:val="2"/>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kern w:val="0"/>
                <w:sz w:val="24"/>
              </w:rPr>
              <w:t>投标人未被列入“信用中国”网站（www.creditchina.gov.cn）失信惩戒对象及中国政府采购网（www.ccgp.gov.cn）“政府采购严重违法失信行为信息记录”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ascii="华文楷体" w:hAnsi="华文楷体" w:eastAsia="华文楷体" w:cs="华文楷体"/>
                <w:sz w:val="24"/>
              </w:rPr>
              <w:t>2</w:t>
            </w:r>
          </w:p>
        </w:tc>
        <w:tc>
          <w:tcPr>
            <w:tcW w:w="8833" w:type="dxa"/>
            <w:gridSpan w:val="2"/>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kern w:val="0"/>
                <w:sz w:val="24"/>
              </w:rPr>
              <w:t>单位负责人为同一人或者存在直接控股、管理关系的不同投标人，不得参加同一招标项目包的政府采购活动。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6" w:type="dxa"/>
            <w:vMerge w:val="continue"/>
            <w:vAlign w:val="center"/>
          </w:tcPr>
          <w:p>
            <w:pPr>
              <w:spacing w:before="100" w:beforeAutospacing="1" w:after="100" w:afterAutospacing="1" w:line="360" w:lineRule="auto"/>
              <w:rPr>
                <w:rFonts w:ascii="华文楷体" w:hAnsi="华文楷体" w:eastAsia="华文楷体" w:cs="华文楷体"/>
                <w:sz w:val="24"/>
              </w:rPr>
            </w:pPr>
          </w:p>
        </w:tc>
        <w:tc>
          <w:tcPr>
            <w:tcW w:w="781" w:type="dxa"/>
            <w:vAlign w:val="center"/>
          </w:tcPr>
          <w:p>
            <w:pPr>
              <w:spacing w:before="100" w:beforeAutospacing="1" w:after="100" w:afterAutospacing="1" w:line="360" w:lineRule="auto"/>
              <w:jc w:val="center"/>
              <w:rPr>
                <w:rFonts w:ascii="华文楷体" w:hAnsi="华文楷体" w:eastAsia="华文楷体" w:cs="华文楷体"/>
                <w:sz w:val="24"/>
              </w:rPr>
            </w:pPr>
            <w:r>
              <w:rPr>
                <w:rFonts w:ascii="华文楷体" w:hAnsi="华文楷体" w:eastAsia="华文楷体" w:cs="华文楷体"/>
                <w:sz w:val="24"/>
              </w:rPr>
              <w:t>3</w:t>
            </w:r>
          </w:p>
        </w:tc>
        <w:tc>
          <w:tcPr>
            <w:tcW w:w="8833" w:type="dxa"/>
            <w:gridSpan w:val="2"/>
            <w:vAlign w:val="center"/>
          </w:tcPr>
          <w:p>
            <w:pPr>
              <w:spacing w:before="100" w:beforeAutospacing="1" w:after="100" w:afterAutospacing="1" w:line="360" w:lineRule="auto"/>
              <w:jc w:val="left"/>
              <w:rPr>
                <w:rFonts w:ascii="华文楷体" w:hAnsi="华文楷体" w:eastAsia="华文楷体" w:cs="华文楷体"/>
                <w:sz w:val="24"/>
              </w:rPr>
            </w:pPr>
            <w:r>
              <w:rPr>
                <w:rFonts w:hint="eastAsia" w:ascii="华文楷体" w:hAnsi="华文楷体" w:eastAsia="华文楷体" w:cs="华文楷体"/>
                <w:kern w:val="0"/>
                <w:sz w:val="24"/>
              </w:rPr>
              <w:t>本次招标不接受联合体投标</w:t>
            </w:r>
          </w:p>
        </w:tc>
      </w:tr>
    </w:tbl>
    <w:p>
      <w:pPr>
        <w:rPr>
          <w:rFonts w:ascii="华文楷体" w:hAnsi="华文楷体" w:eastAsia="华文楷体" w:cs="华文楷体"/>
          <w:b/>
          <w:bCs/>
          <w:sz w:val="32"/>
          <w:szCs w:val="32"/>
        </w:rPr>
        <w:sectPr>
          <w:pgSz w:w="11906" w:h="16838"/>
          <w:pgMar w:top="930" w:right="1179" w:bottom="930" w:left="1179" w:header="851" w:footer="992" w:gutter="0"/>
          <w:cols w:space="425" w:num="1"/>
          <w:docGrid w:type="lines" w:linePitch="312" w:charSpace="0"/>
        </w:sectPr>
      </w:pPr>
    </w:p>
    <w:p>
      <w:pPr>
        <w:pStyle w:val="2"/>
        <w:rPr>
          <w:rFonts w:ascii="方正楷体_GBK" w:hAnsi="方正楷体_GBK" w:eastAsia="方正楷体_GBK" w:cs="方正楷体_GBK"/>
          <w:sz w:val="28"/>
          <w:szCs w:val="22"/>
        </w:rPr>
      </w:pPr>
      <w:bookmarkStart w:id="19" w:name="_Toc138771430"/>
      <w:r>
        <w:rPr>
          <w:rFonts w:hint="eastAsia" w:ascii="方正楷体_GBK" w:hAnsi="方正楷体_GBK" w:eastAsia="方正楷体_GBK" w:cs="方正楷体_GBK"/>
          <w:sz w:val="28"/>
          <w:szCs w:val="22"/>
        </w:rPr>
        <w:t>第</w:t>
      </w:r>
      <w:r>
        <w:rPr>
          <w:rFonts w:hint="eastAsia" w:ascii="方正楷体_GBK" w:hAnsi="方正楷体_GBK" w:eastAsia="方正楷体_GBK" w:cs="方正楷体_GBK"/>
          <w:sz w:val="28"/>
          <w:szCs w:val="22"/>
          <w:lang w:eastAsia="zh-CN"/>
        </w:rPr>
        <w:t>六</w:t>
      </w:r>
      <w:r>
        <w:rPr>
          <w:rFonts w:hint="eastAsia" w:ascii="方正楷体_GBK" w:hAnsi="方正楷体_GBK" w:eastAsia="方正楷体_GBK" w:cs="方正楷体_GBK"/>
          <w:sz w:val="28"/>
          <w:szCs w:val="22"/>
        </w:rPr>
        <w:t xml:space="preserve">章  </w:t>
      </w:r>
      <w:r>
        <w:rPr>
          <w:rFonts w:ascii="方正楷体_GBK" w:hAnsi="方正楷体_GBK" w:eastAsia="方正楷体_GBK" w:cs="方正楷体_GBK"/>
          <w:sz w:val="28"/>
          <w:szCs w:val="22"/>
        </w:rPr>
        <w:t>评标方法（综合评分法）</w:t>
      </w:r>
      <w:bookmarkEnd w:id="19"/>
    </w:p>
    <w:tbl>
      <w:tblPr>
        <w:tblStyle w:val="12"/>
        <w:tblW w:w="10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13"/>
        <w:gridCol w:w="1593"/>
        <w:gridCol w:w="2682"/>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条款号</w:t>
            </w:r>
          </w:p>
        </w:tc>
        <w:tc>
          <w:tcPr>
            <w:tcW w:w="1013" w:type="dxa"/>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评审程序</w:t>
            </w:r>
          </w:p>
        </w:tc>
        <w:tc>
          <w:tcPr>
            <w:tcW w:w="8181" w:type="dxa"/>
            <w:gridSpan w:val="3"/>
            <w:vAlign w:val="center"/>
          </w:tcPr>
          <w:p>
            <w:pPr>
              <w:spacing w:before="100" w:beforeAutospacing="1" w:after="100" w:afterAutospacing="1" w:line="16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restart"/>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3.1</w:t>
            </w:r>
          </w:p>
        </w:tc>
        <w:tc>
          <w:tcPr>
            <w:tcW w:w="1013" w:type="dxa"/>
            <w:vMerge w:val="restart"/>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符合性评审标准</w:t>
            </w:r>
          </w:p>
        </w:tc>
        <w:tc>
          <w:tcPr>
            <w:tcW w:w="8181" w:type="dxa"/>
            <w:gridSpan w:val="3"/>
            <w:vAlign w:val="center"/>
          </w:tcPr>
          <w:p>
            <w:pPr>
              <w:spacing w:before="100" w:beforeAutospacing="1" w:after="100" w:afterAutospacing="1" w:line="160" w:lineRule="atLeast"/>
              <w:jc w:val="left"/>
              <w:rPr>
                <w:rFonts w:ascii="华文楷体" w:hAnsi="华文楷体" w:eastAsia="华文楷体" w:cs="华文楷体"/>
                <w:b/>
                <w:szCs w:val="21"/>
              </w:rPr>
            </w:pPr>
            <w:r>
              <w:rPr>
                <w:rFonts w:hint="eastAsia" w:ascii="华文楷体" w:hAnsi="华文楷体" w:eastAsia="华文楷体" w:cs="华文楷体"/>
                <w:b/>
                <w:szCs w:val="21"/>
              </w:rPr>
              <w:t>投标人存在下列情况之一的，投标无效：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签署、盖章</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法定代表人身份证明书及法定代表人授权委托书</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投标文件未按招标文件要求签署、盖章的；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投标报价</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投标报价超过招标文件中规定的预算金额或者最高限价的；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不能接受的附加条件</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投标文件含有采购人不能接受的附加条件的;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其它实质性条件</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highlight w:val="yellow"/>
              </w:rPr>
            </w:pPr>
            <w:r>
              <w:rPr>
                <w:rFonts w:hint="eastAsia" w:ascii="华文楷体" w:hAnsi="华文楷体" w:eastAsia="华文楷体" w:cs="华文楷体"/>
                <w:szCs w:val="21"/>
                <w:highlight w:val="none"/>
              </w:rPr>
              <w:t>未实质性响应招标文件中标注</w:t>
            </w:r>
            <w:r>
              <w:rPr>
                <w:rFonts w:ascii="华文楷体" w:hAnsi="华文楷体" w:eastAsia="华文楷体" w:cs="华文楷体"/>
                <w:sz w:val="24"/>
              </w:rPr>
              <w:t>★</w:t>
            </w:r>
            <w:r>
              <w:rPr>
                <w:rFonts w:hint="eastAsia" w:ascii="华文楷体" w:hAnsi="华文楷体" w:eastAsia="华文楷体" w:cs="华文楷体"/>
                <w:szCs w:val="21"/>
                <w:highlight w:val="none"/>
              </w:rPr>
              <w:t>条款内容的；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1"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1013" w:type="dxa"/>
            <w:vMerge w:val="continue"/>
            <w:vAlign w:val="center"/>
          </w:tcPr>
          <w:p>
            <w:pPr>
              <w:spacing w:before="100" w:beforeAutospacing="1" w:after="100" w:afterAutospacing="1" w:line="160" w:lineRule="atLeast"/>
              <w:rPr>
                <w:rFonts w:ascii="华文楷体" w:hAnsi="华文楷体" w:eastAsia="华文楷体" w:cs="华文楷体"/>
                <w:szCs w:val="21"/>
              </w:rPr>
            </w:pPr>
          </w:p>
        </w:tc>
        <w:tc>
          <w:tcPr>
            <w:tcW w:w="4275" w:type="dxa"/>
            <w:gridSpan w:val="2"/>
            <w:vAlign w:val="center"/>
          </w:tcPr>
          <w:p>
            <w:pPr>
              <w:spacing w:before="100" w:beforeAutospacing="1" w:after="100" w:afterAutospacing="1" w:line="160" w:lineRule="atLeast"/>
              <w:jc w:val="center"/>
              <w:rPr>
                <w:rFonts w:ascii="华文楷体" w:hAnsi="华文楷体" w:eastAsia="华文楷体" w:cs="华文楷体"/>
                <w:szCs w:val="21"/>
              </w:rPr>
            </w:pPr>
            <w:r>
              <w:rPr>
                <w:rFonts w:hint="eastAsia" w:ascii="华文楷体" w:hAnsi="华文楷体" w:eastAsia="华文楷体" w:cs="华文楷体"/>
                <w:szCs w:val="21"/>
              </w:rPr>
              <w:t>其他无效情形</w:t>
            </w:r>
          </w:p>
        </w:tc>
        <w:tc>
          <w:tcPr>
            <w:tcW w:w="3906" w:type="dxa"/>
            <w:vAlign w:val="center"/>
          </w:tcPr>
          <w:p>
            <w:pPr>
              <w:spacing w:before="100" w:beforeAutospacing="1" w:after="100" w:afterAutospacing="1" w:line="160" w:lineRule="atLeast"/>
              <w:jc w:val="left"/>
              <w:rPr>
                <w:rFonts w:ascii="华文楷体" w:hAnsi="华文楷体" w:eastAsia="华文楷体" w:cs="华文楷体"/>
                <w:szCs w:val="21"/>
              </w:rPr>
            </w:pPr>
            <w:r>
              <w:rPr>
                <w:rFonts w:hint="eastAsia" w:ascii="华文楷体" w:hAnsi="华文楷体" w:eastAsia="华文楷体" w:cs="华文楷体"/>
                <w:szCs w:val="21"/>
              </w:rPr>
              <w:t>法律、法规和招标文件规定的其他无效情形。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jc w:val="center"/>
        </w:trPr>
        <w:tc>
          <w:tcPr>
            <w:tcW w:w="851" w:type="dxa"/>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条款号</w:t>
            </w:r>
          </w:p>
        </w:tc>
        <w:tc>
          <w:tcPr>
            <w:tcW w:w="1013" w:type="dxa"/>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评审程序</w:t>
            </w:r>
          </w:p>
        </w:tc>
        <w:tc>
          <w:tcPr>
            <w:tcW w:w="8181" w:type="dxa"/>
            <w:gridSpan w:val="3"/>
            <w:vAlign w:val="center"/>
          </w:tcPr>
          <w:p>
            <w:pPr>
              <w:spacing w:before="100" w:beforeAutospacing="1" w:after="100" w:afterAutospacing="1" w:line="240" w:lineRule="atLeast"/>
              <w:jc w:val="center"/>
              <w:rPr>
                <w:rFonts w:ascii="华文楷体" w:hAnsi="华文楷体" w:eastAsia="华文楷体" w:cs="华文楷体"/>
                <w:b/>
                <w:szCs w:val="21"/>
              </w:rPr>
            </w:pPr>
            <w:r>
              <w:rPr>
                <w:rFonts w:hint="eastAsia" w:ascii="华文楷体" w:hAnsi="华文楷体" w:eastAsia="华文楷体" w:cs="华文楷体"/>
                <w:b/>
                <w:szCs w:val="21"/>
              </w:rPr>
              <w:t>评 审 内 容 及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51" w:type="dxa"/>
            <w:vMerge w:val="restart"/>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3.2</w:t>
            </w:r>
          </w:p>
        </w:tc>
        <w:tc>
          <w:tcPr>
            <w:tcW w:w="1013" w:type="dxa"/>
            <w:vMerge w:val="restart"/>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详细评审标准</w:t>
            </w:r>
          </w:p>
        </w:tc>
        <w:tc>
          <w:tcPr>
            <w:tcW w:w="1593" w:type="dxa"/>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1、评标总得分计算公式</w:t>
            </w:r>
          </w:p>
        </w:tc>
        <w:tc>
          <w:tcPr>
            <w:tcW w:w="6588" w:type="dxa"/>
            <w:gridSpan w:val="2"/>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投标人的评标总得分＝F1＋F2＋F3</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其中：①F1、F2、F3分别为投标报价、技术部分、商务部分3项评分因素的汇总得分；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2、评分因素</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分值及权重</w:t>
            </w:r>
          </w:p>
        </w:tc>
        <w:tc>
          <w:tcPr>
            <w:tcW w:w="6588" w:type="dxa"/>
            <w:gridSpan w:val="2"/>
            <w:vAlign w:val="center"/>
          </w:tcPr>
          <w:p>
            <w:pPr>
              <w:spacing w:line="240" w:lineRule="atLeast"/>
              <w:ind w:left="1258" w:hanging="1258"/>
              <w:rPr>
                <w:rFonts w:ascii="华文楷体" w:hAnsi="华文楷体" w:eastAsia="华文楷体" w:cs="华文楷体"/>
                <w:szCs w:val="21"/>
              </w:rPr>
            </w:pPr>
            <w:r>
              <w:rPr>
                <w:rFonts w:hint="eastAsia" w:ascii="华文楷体" w:hAnsi="华文楷体" w:eastAsia="华文楷体" w:cs="华文楷体"/>
                <w:szCs w:val="21"/>
              </w:rPr>
              <w:t>投标报价F1：满分30分。技术部分F2：满分40分。</w:t>
            </w:r>
          </w:p>
          <w:p>
            <w:pPr>
              <w:spacing w:line="240" w:lineRule="atLeast"/>
              <w:ind w:left="1258" w:hanging="1258"/>
              <w:rPr>
                <w:rFonts w:ascii="华文楷体" w:hAnsi="华文楷体" w:eastAsia="华文楷体" w:cs="华文楷体"/>
                <w:szCs w:val="21"/>
              </w:rPr>
            </w:pPr>
            <w:r>
              <w:rPr>
                <w:rFonts w:hint="eastAsia" w:ascii="华文楷体" w:hAnsi="华文楷体" w:eastAsia="华文楷体" w:cs="华文楷体"/>
                <w:szCs w:val="21"/>
              </w:rPr>
              <w:t>商务部分F3：满分30分。（在政府采购法规定下具体权重自行调整）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tcBorders>
              <w:bottom w:val="single" w:color="auto" w:sz="4" w:space="0"/>
            </w:tcBorders>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3、投标报价</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评审F1</w:t>
            </w:r>
          </w:p>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（满分30分）</w:t>
            </w:r>
          </w:p>
        </w:tc>
        <w:tc>
          <w:tcPr>
            <w:tcW w:w="6588" w:type="dxa"/>
            <w:gridSpan w:val="2"/>
            <w:tcBorders>
              <w:bottom w:val="single" w:color="auto" w:sz="4" w:space="0"/>
            </w:tcBorders>
            <w:vAlign w:val="center"/>
          </w:tcPr>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rPr>
              <w:t xml:space="preserve">投标报价计算公式= </w:t>
            </w:r>
            <w:r>
              <w:rPr>
                <w:rFonts w:hint="eastAsia" w:ascii="华文楷体" w:hAnsi="华文楷体" w:eastAsia="华文楷体" w:cs="华文楷体"/>
                <w:position w:val="-26"/>
                <w:szCs w:val="21"/>
              </w:rPr>
              <w:object>
                <v:shape id="_x0000_i1025" o:spt="75" type="#_x0000_t75" style="height:36.3pt;width:77pt;" o:ole="t" filled="f" o:preferrelative="t" stroked="f" coordsize="21600,21600">
                  <v:path/>
                  <v:fill on="f" focussize="0,0"/>
                  <v:stroke on="f" joinstyle="miter"/>
                  <v:imagedata r:id="rId5" o:title="341228446826312"/>
                  <o:lock v:ext="edit" aspectratio="t"/>
                  <w10:wrap type="none"/>
                  <w10:anchorlock/>
                </v:shape>
                <o:OLEObject Type="Embed" ProgID="Equation.3" ShapeID="_x0000_i1025" DrawAspect="Content" ObjectID="_1468075725" r:id="rId4">
                  <o:LockedField>false</o:LockedField>
                </o:OLEObject>
              </w:object>
            </w:r>
            <w:r>
              <w:rPr>
                <w:rFonts w:hint="eastAsia" w:ascii="华文楷体" w:hAnsi="华文楷体" w:eastAsia="华文楷体" w:cs="华文楷体"/>
                <w:szCs w:val="21"/>
              </w:rPr>
              <w:t>×30</w:t>
            </w:r>
          </w:p>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rPr>
              <w:t>即：F1=[C/（B1，B2，…，Bn）]×30</w:t>
            </w:r>
          </w:p>
          <w:p>
            <w:pPr>
              <w:adjustRightInd w:val="0"/>
              <w:spacing w:line="240" w:lineRule="atLeast"/>
              <w:rPr>
                <w:rFonts w:ascii="华文楷体" w:hAnsi="华文楷体" w:eastAsia="华文楷体" w:cs="华文楷体"/>
                <w:szCs w:val="21"/>
              </w:rPr>
            </w:pPr>
            <w:r>
              <w:rPr>
                <w:rFonts w:hint="eastAsia" w:ascii="华文楷体" w:hAnsi="华文楷体" w:eastAsia="华文楷体" w:cs="华文楷体"/>
                <w:szCs w:val="21"/>
              </w:rPr>
              <w:t>注：C为评标基准价，即经初步审查合格且投标价格最低的有效投标报价；B1，B2，…，Bn为第n个经初步审查合格的有效投标报价。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restart"/>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3.3</w:t>
            </w:r>
          </w:p>
        </w:tc>
        <w:tc>
          <w:tcPr>
            <w:tcW w:w="1013" w:type="dxa"/>
            <w:vMerge w:val="restart"/>
            <w:vAlign w:val="center"/>
          </w:tcPr>
          <w:p>
            <w:pPr>
              <w:spacing w:line="240" w:lineRule="atLeast"/>
              <w:rPr>
                <w:rFonts w:ascii="华文楷体" w:hAnsi="华文楷体" w:eastAsia="华文楷体" w:cs="华文楷体"/>
                <w:szCs w:val="21"/>
              </w:rPr>
            </w:pPr>
            <w:r>
              <w:rPr>
                <w:rFonts w:hint="eastAsia" w:ascii="华文楷体" w:hAnsi="华文楷体" w:eastAsia="华文楷体" w:cs="华文楷体"/>
                <w:szCs w:val="21"/>
              </w:rPr>
              <w:t>详细评审标准</w:t>
            </w:r>
          </w:p>
        </w:tc>
        <w:tc>
          <w:tcPr>
            <w:tcW w:w="1593" w:type="dxa"/>
            <w:shd w:val="clear" w:color="auto" w:fill="auto"/>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4、技术部分</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评审F2</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（满分40分）</w:t>
            </w:r>
          </w:p>
        </w:tc>
        <w:tc>
          <w:tcPr>
            <w:tcW w:w="6588" w:type="dxa"/>
            <w:gridSpan w:val="2"/>
            <w:shd w:val="clear" w:color="auto" w:fill="auto"/>
            <w:vAlign w:val="center"/>
          </w:tcPr>
          <w:p>
            <w:pPr>
              <w:snapToGrid w:val="0"/>
              <w:jc w:val="left"/>
              <w:rPr>
                <w:rFonts w:ascii="华文楷体" w:hAnsi="华文楷体" w:eastAsia="华文楷体" w:cs="华文楷体"/>
                <w:b/>
                <w:bCs/>
                <w:szCs w:val="21"/>
              </w:rPr>
            </w:pPr>
            <w:r>
              <w:rPr>
                <w:rFonts w:hint="eastAsia" w:ascii="华文楷体" w:hAnsi="华文楷体" w:eastAsia="华文楷体" w:cs="华文楷体"/>
                <w:b/>
                <w:szCs w:val="21"/>
              </w:rPr>
              <w:t>1）《货物需求及技术要求》技术指标响应评分（</w:t>
            </w:r>
            <w:r>
              <w:rPr>
                <w:rFonts w:hint="eastAsia" w:ascii="华文楷体" w:hAnsi="华文楷体" w:eastAsia="华文楷体" w:cs="华文楷体"/>
                <w:b/>
                <w:bCs/>
                <w:szCs w:val="21"/>
              </w:rPr>
              <w:t>满分40分）</w:t>
            </w:r>
          </w:p>
          <w:p>
            <w:pPr>
              <w:snapToGrid w:val="0"/>
              <w:jc w:val="left"/>
              <w:rPr>
                <w:rFonts w:ascii="华文楷体" w:hAnsi="华文楷体" w:eastAsia="华文楷体" w:cs="华文楷体"/>
                <w:szCs w:val="21"/>
              </w:rPr>
            </w:pPr>
            <w:r>
              <w:rPr>
                <w:rFonts w:hint="eastAsia" w:ascii="华文楷体" w:hAnsi="华文楷体" w:eastAsia="华文楷体" w:cs="华文楷体"/>
                <w:szCs w:val="21"/>
              </w:rPr>
              <w:t>a.重要参数评审评分</w:t>
            </w:r>
          </w:p>
          <w:p>
            <w:pPr>
              <w:snapToGrid w:val="0"/>
              <w:jc w:val="left"/>
              <w:rPr>
                <w:rFonts w:ascii="华文楷体" w:hAnsi="华文楷体" w:eastAsia="华文楷体" w:cs="华文楷体"/>
                <w:szCs w:val="21"/>
                <w:highlight w:val="none"/>
              </w:rPr>
            </w:pPr>
            <w:r>
              <w:rPr>
                <w:rFonts w:hint="eastAsia" w:ascii="华文楷体" w:hAnsi="华文楷体" w:eastAsia="华文楷体" w:cs="华文楷体"/>
                <w:szCs w:val="21"/>
                <w:highlight w:val="none"/>
              </w:rPr>
              <w:t>“▲”参数部分为重要参数，重要参数不满足一条扣4分，扣完为止。小数点后保留两位小数（四舍五入）。</w:t>
            </w:r>
          </w:p>
          <w:p>
            <w:pPr>
              <w:snapToGrid w:val="0"/>
              <w:jc w:val="left"/>
              <w:rPr>
                <w:rFonts w:ascii="华文楷体" w:hAnsi="华文楷体" w:eastAsia="华文楷体" w:cs="华文楷体"/>
                <w:szCs w:val="21"/>
              </w:rPr>
            </w:pPr>
            <w:r>
              <w:rPr>
                <w:rFonts w:hint="eastAsia" w:ascii="华文楷体" w:hAnsi="华文楷体" w:eastAsia="华文楷体" w:cs="华文楷体"/>
                <w:szCs w:val="21"/>
              </w:rPr>
              <w:t>b.一般参数评审评分</w:t>
            </w:r>
          </w:p>
          <w:p>
            <w:pPr>
              <w:snapToGrid w:val="0"/>
              <w:jc w:val="left"/>
              <w:rPr>
                <w:rFonts w:ascii="华文楷体" w:hAnsi="华文楷体" w:eastAsia="华文楷体" w:cs="华文楷体"/>
                <w:szCs w:val="21"/>
              </w:rPr>
            </w:pPr>
            <w:r>
              <w:rPr>
                <w:rFonts w:hint="eastAsia" w:ascii="华文楷体" w:hAnsi="华文楷体" w:eastAsia="华文楷体" w:cs="华文楷体"/>
                <w:szCs w:val="21"/>
              </w:rPr>
              <w:t>非“▲”参数部分为一般参数，不满足一条扣2分，扣完为止。小数点后保留两位小数（四舍五入）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Merge w:val="continue"/>
            <w:vAlign w:val="center"/>
          </w:tcPr>
          <w:p>
            <w:pPr>
              <w:spacing w:line="240" w:lineRule="atLeast"/>
              <w:rPr>
                <w:rFonts w:ascii="华文楷体" w:hAnsi="华文楷体" w:eastAsia="华文楷体" w:cs="华文楷体"/>
                <w:szCs w:val="21"/>
              </w:rPr>
            </w:pPr>
          </w:p>
        </w:tc>
        <w:tc>
          <w:tcPr>
            <w:tcW w:w="1013" w:type="dxa"/>
            <w:vMerge w:val="continue"/>
            <w:vAlign w:val="center"/>
          </w:tcPr>
          <w:p>
            <w:pPr>
              <w:spacing w:line="240" w:lineRule="atLeast"/>
              <w:rPr>
                <w:rFonts w:ascii="华文楷体" w:hAnsi="华文楷体" w:eastAsia="华文楷体" w:cs="华文楷体"/>
                <w:szCs w:val="21"/>
              </w:rPr>
            </w:pPr>
          </w:p>
        </w:tc>
        <w:tc>
          <w:tcPr>
            <w:tcW w:w="1593" w:type="dxa"/>
            <w:vAlign w:val="center"/>
          </w:tcPr>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5、商务部分</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评审F3</w:t>
            </w:r>
          </w:p>
          <w:p>
            <w:pPr>
              <w:spacing w:line="240" w:lineRule="atLeast"/>
              <w:jc w:val="center"/>
              <w:rPr>
                <w:rFonts w:ascii="华文楷体" w:hAnsi="华文楷体" w:eastAsia="华文楷体" w:cs="华文楷体"/>
                <w:szCs w:val="21"/>
              </w:rPr>
            </w:pPr>
            <w:r>
              <w:rPr>
                <w:rFonts w:hint="eastAsia" w:ascii="华文楷体" w:hAnsi="华文楷体" w:eastAsia="华文楷体" w:cs="华文楷体"/>
                <w:szCs w:val="21"/>
              </w:rPr>
              <w:t>（满分30分）</w:t>
            </w:r>
          </w:p>
        </w:tc>
        <w:tc>
          <w:tcPr>
            <w:tcW w:w="6588" w:type="dxa"/>
            <w:gridSpan w:val="2"/>
            <w:vAlign w:val="center"/>
          </w:tcPr>
          <w:p>
            <w:pPr>
              <w:snapToGrid w:val="0"/>
              <w:spacing w:line="360" w:lineRule="auto"/>
              <w:jc w:val="left"/>
              <w:rPr>
                <w:rFonts w:ascii="华文楷体" w:hAnsi="华文楷体" w:eastAsia="华文楷体" w:cs="华文楷体"/>
                <w:b/>
                <w:szCs w:val="21"/>
              </w:rPr>
            </w:pPr>
            <w:r>
              <w:rPr>
                <w:rFonts w:hint="eastAsia" w:ascii="华文楷体" w:hAnsi="华文楷体" w:eastAsia="华文楷体" w:cs="华文楷体"/>
                <w:b/>
                <w:szCs w:val="21"/>
              </w:rPr>
              <w:t>1）商务指标响应评分</w:t>
            </w:r>
            <w:r>
              <w:rPr>
                <w:rFonts w:hint="eastAsia" w:ascii="华文楷体" w:hAnsi="华文楷体" w:eastAsia="华文楷体" w:cs="华文楷体"/>
                <w:b/>
                <w:bCs/>
                <w:szCs w:val="21"/>
              </w:rPr>
              <w:t>（满分3分）</w:t>
            </w:r>
          </w:p>
          <w:p>
            <w:pPr>
              <w:snapToGrid w:val="0"/>
              <w:spacing w:line="360" w:lineRule="auto"/>
              <w:jc w:val="left"/>
              <w:rPr>
                <w:rFonts w:ascii="华文楷体" w:hAnsi="华文楷体" w:eastAsia="华文楷体" w:cs="华文楷体"/>
                <w:b/>
                <w:szCs w:val="21"/>
              </w:rPr>
            </w:pPr>
            <w:r>
              <w:rPr>
                <w:rFonts w:hint="eastAsia" w:ascii="华文楷体" w:hAnsi="华文楷体" w:eastAsia="华文楷体" w:cs="华文楷体"/>
                <w:szCs w:val="21"/>
              </w:rPr>
              <w:t>根据投标文件对招标文件商务指标的响应程度进行评分，招标文件第</w:t>
            </w:r>
            <w:r>
              <w:rPr>
                <w:rFonts w:hint="eastAsia" w:ascii="华文楷体" w:hAnsi="华文楷体" w:eastAsia="华文楷体" w:cs="华文楷体"/>
                <w:szCs w:val="21"/>
                <w:lang w:eastAsia="zh-CN"/>
              </w:rPr>
              <w:t>四</w:t>
            </w:r>
            <w:r>
              <w:rPr>
                <w:rFonts w:hint="eastAsia" w:ascii="华文楷体" w:hAnsi="华文楷体" w:eastAsia="华文楷体" w:cs="华文楷体"/>
                <w:szCs w:val="21"/>
              </w:rPr>
              <w:t>章“货物需求及技术要求”的商务要求中的付款方式</w:t>
            </w:r>
            <w:r>
              <w:rPr>
                <w:rFonts w:hint="eastAsia" w:ascii="华文楷体" w:hAnsi="华文楷体" w:eastAsia="华文楷体" w:cs="华文楷体"/>
                <w:szCs w:val="21"/>
                <w:lang w:eastAsia="zh-CN"/>
              </w:rPr>
              <w:t>、工期</w:t>
            </w:r>
            <w:r>
              <w:rPr>
                <w:rFonts w:hint="eastAsia" w:ascii="华文楷体" w:hAnsi="华文楷体" w:eastAsia="华文楷体" w:cs="华文楷体"/>
                <w:szCs w:val="21"/>
              </w:rPr>
              <w:t>要求，每出现一项不满足招标文件不得分。</w:t>
            </w:r>
          </w:p>
          <w:p>
            <w:pPr>
              <w:snapToGrid w:val="0"/>
              <w:spacing w:line="360" w:lineRule="auto"/>
              <w:jc w:val="left"/>
              <w:rPr>
                <w:rFonts w:hint="eastAsia" w:ascii="华文楷体" w:hAnsi="华文楷体" w:eastAsia="华文楷体" w:cs="华文楷体"/>
                <w:szCs w:val="21"/>
                <w:highlight w:val="none"/>
              </w:rPr>
            </w:pPr>
            <w:r>
              <w:rPr>
                <w:rFonts w:hint="eastAsia" w:ascii="华文楷体" w:hAnsi="华文楷体" w:eastAsia="华文楷体" w:cs="华文楷体"/>
                <w:b/>
                <w:szCs w:val="21"/>
              </w:rPr>
              <w:t>2）</w:t>
            </w:r>
            <w:r>
              <w:rPr>
                <w:rFonts w:hint="eastAsia" w:ascii="华文楷体" w:hAnsi="华文楷体" w:eastAsia="华文楷体" w:cs="华文楷体"/>
                <w:b/>
                <w:bCs/>
                <w:szCs w:val="21"/>
              </w:rPr>
              <w:t>质保期评分（满分4分）</w:t>
            </w:r>
          </w:p>
          <w:p>
            <w:pPr>
              <w:snapToGrid w:val="0"/>
              <w:spacing w:line="360" w:lineRule="auto"/>
              <w:rPr>
                <w:rFonts w:hint="eastAsia" w:ascii="华文楷体" w:hAnsi="华文楷体" w:eastAsia="华文楷体" w:cs="华文楷体"/>
                <w:szCs w:val="21"/>
                <w:highlight w:val="none"/>
              </w:rPr>
            </w:pPr>
            <w:r>
              <w:rPr>
                <w:rFonts w:hint="eastAsia" w:ascii="华文楷体" w:hAnsi="华文楷体" w:eastAsia="华文楷体" w:cs="华文楷体"/>
                <w:szCs w:val="21"/>
                <w:highlight w:val="none"/>
              </w:rPr>
              <w:t>按投标文件中承诺的质保期时间由</w:t>
            </w:r>
            <w:r>
              <w:rPr>
                <w:rFonts w:hint="eastAsia" w:ascii="华文楷体" w:hAnsi="华文楷体" w:eastAsia="华文楷体" w:cs="华文楷体"/>
                <w:szCs w:val="21"/>
                <w:highlight w:val="none"/>
                <w:lang w:val="en-US" w:eastAsia="zh-CN"/>
              </w:rPr>
              <w:t>长</w:t>
            </w:r>
            <w:r>
              <w:rPr>
                <w:rFonts w:hint="eastAsia" w:ascii="华文楷体" w:hAnsi="华文楷体" w:eastAsia="华文楷体" w:cs="华文楷体"/>
                <w:szCs w:val="21"/>
                <w:highlight w:val="none"/>
              </w:rPr>
              <w:t>至</w:t>
            </w:r>
            <w:r>
              <w:rPr>
                <w:rFonts w:hint="eastAsia" w:ascii="华文楷体" w:hAnsi="华文楷体" w:eastAsia="华文楷体" w:cs="华文楷体"/>
                <w:szCs w:val="21"/>
                <w:highlight w:val="none"/>
                <w:lang w:val="en-US" w:eastAsia="zh-CN"/>
              </w:rPr>
              <w:t>短</w:t>
            </w:r>
            <w:r>
              <w:rPr>
                <w:rFonts w:hint="eastAsia" w:ascii="华文楷体" w:hAnsi="华文楷体" w:eastAsia="华文楷体" w:cs="华文楷体"/>
                <w:szCs w:val="21"/>
                <w:highlight w:val="none"/>
              </w:rPr>
              <w:t>排序，</w:t>
            </w:r>
            <w:r>
              <w:rPr>
                <w:rFonts w:hint="eastAsia" w:ascii="华文楷体" w:hAnsi="华文楷体" w:eastAsia="华文楷体" w:cs="华文楷体"/>
                <w:szCs w:val="21"/>
                <w:highlight w:val="none"/>
                <w:lang w:val="en-US" w:eastAsia="zh-CN"/>
              </w:rPr>
              <w:t>质保期最长</w:t>
            </w:r>
            <w:r>
              <w:rPr>
                <w:rFonts w:hint="eastAsia" w:ascii="华文楷体" w:hAnsi="华文楷体" w:eastAsia="华文楷体" w:cs="华文楷体"/>
                <w:szCs w:val="21"/>
                <w:highlight w:val="none"/>
              </w:rPr>
              <w:t>得满分</w:t>
            </w:r>
            <w:r>
              <w:rPr>
                <w:rFonts w:hint="eastAsia" w:ascii="华文楷体" w:hAnsi="华文楷体" w:eastAsia="华文楷体" w:cs="华文楷体"/>
                <w:szCs w:val="21"/>
                <w:highlight w:val="none"/>
                <w:lang w:val="en-US" w:eastAsia="zh-CN"/>
              </w:rPr>
              <w:t>4分</w:t>
            </w:r>
            <w:r>
              <w:rPr>
                <w:rFonts w:hint="eastAsia" w:ascii="华文楷体" w:hAnsi="华文楷体" w:eastAsia="华文楷体" w:cs="华文楷体"/>
                <w:szCs w:val="21"/>
                <w:highlight w:val="none"/>
              </w:rPr>
              <w:t>，按排序依次递减1分，排名相同得分相同。</w:t>
            </w:r>
          </w:p>
          <w:p>
            <w:pPr>
              <w:snapToGrid w:val="0"/>
              <w:spacing w:line="360" w:lineRule="auto"/>
              <w:jc w:val="left"/>
              <w:rPr>
                <w:rFonts w:ascii="华文楷体" w:hAnsi="华文楷体" w:eastAsia="华文楷体" w:cs="华文楷体"/>
                <w:b/>
                <w:szCs w:val="21"/>
              </w:rPr>
            </w:pPr>
            <w:r>
              <w:rPr>
                <w:rFonts w:hint="eastAsia" w:ascii="华文楷体" w:hAnsi="华文楷体" w:eastAsia="华文楷体" w:cs="华文楷体"/>
                <w:b/>
                <w:bCs/>
                <w:szCs w:val="21"/>
              </w:rPr>
              <w:t>3）</w:t>
            </w:r>
            <w:r>
              <w:rPr>
                <w:rFonts w:hint="eastAsia" w:ascii="华文楷体" w:hAnsi="华文楷体" w:eastAsia="华文楷体" w:cs="华文楷体"/>
                <w:b/>
                <w:szCs w:val="21"/>
              </w:rPr>
              <w:t>投标人对设备的安装、调试及售后服务承诺的完整性、可行性（满分20分）</w:t>
            </w:r>
          </w:p>
          <w:p>
            <w:pPr>
              <w:snapToGrid w:val="0"/>
              <w:spacing w:line="360" w:lineRule="auto"/>
              <w:rPr>
                <w:rFonts w:ascii="华文楷体" w:hAnsi="华文楷体" w:eastAsia="华文楷体" w:cs="华文楷体"/>
                <w:szCs w:val="21"/>
              </w:rPr>
            </w:pPr>
            <w:r>
              <w:rPr>
                <w:rFonts w:hint="eastAsia" w:ascii="华文楷体" w:hAnsi="华文楷体" w:eastAsia="华文楷体" w:cs="华文楷体"/>
                <w:szCs w:val="21"/>
              </w:rPr>
              <w:t>提供完善的技术服务方案，至少包括巡检内容、故障处理、性能调优、升级服务等方面。提供完整售后服务及故障处理程序，包括流程、响应/处理时间、负责人及负责人电话、质量监管及处罚等。方案合理、操作性强，且切实可行。针对项目实际情况提交培训方案，包括具体培训内容、培训方式、培训次数及规模等内容，具有可行性。</w:t>
            </w:r>
          </w:p>
          <w:p>
            <w:pPr>
              <w:snapToGrid w:val="0"/>
              <w:spacing w:line="360" w:lineRule="auto"/>
              <w:rPr>
                <w:rFonts w:ascii="华文楷体" w:hAnsi="华文楷体" w:eastAsia="华文楷体" w:cs="华文楷体"/>
                <w:szCs w:val="21"/>
              </w:rPr>
            </w:pPr>
            <w:r>
              <w:rPr>
                <w:rFonts w:hint="eastAsia" w:ascii="华文楷体" w:hAnsi="华文楷体" w:eastAsia="华文楷体" w:cs="华文楷体"/>
                <w:szCs w:val="21"/>
              </w:rPr>
              <w:t>第一个档次（14～20分）：技术服务方案全面、合理可行，培训方案安排科学合理、可操作性强；</w:t>
            </w:r>
          </w:p>
          <w:p>
            <w:pPr>
              <w:snapToGrid w:val="0"/>
              <w:spacing w:line="360" w:lineRule="auto"/>
              <w:rPr>
                <w:rFonts w:ascii="华文楷体" w:hAnsi="华文楷体" w:eastAsia="华文楷体" w:cs="华文楷体"/>
                <w:szCs w:val="21"/>
              </w:rPr>
            </w:pPr>
            <w:r>
              <w:rPr>
                <w:rFonts w:hint="eastAsia" w:ascii="华文楷体" w:hAnsi="华文楷体" w:eastAsia="华文楷体" w:cs="华文楷体"/>
                <w:szCs w:val="21"/>
              </w:rPr>
              <w:t>第二个档次（7～13分）：技术服务方案可行，培训方案安排可行，有一定的针对性；</w:t>
            </w:r>
          </w:p>
          <w:p>
            <w:pPr>
              <w:snapToGrid w:val="0"/>
              <w:spacing w:line="360" w:lineRule="auto"/>
              <w:rPr>
                <w:rFonts w:ascii="华文楷体" w:hAnsi="华文楷体" w:eastAsia="华文楷体" w:cs="华文楷体"/>
                <w:szCs w:val="21"/>
              </w:rPr>
            </w:pPr>
            <w:r>
              <w:rPr>
                <w:rFonts w:hint="eastAsia" w:ascii="华文楷体" w:hAnsi="华文楷体" w:eastAsia="华文楷体" w:cs="华文楷体"/>
                <w:szCs w:val="21"/>
              </w:rPr>
              <w:t>第三个档次（1～6分）：技术服务方案有明显瑕疵，，培训方案安排有瑕疵；</w:t>
            </w:r>
          </w:p>
          <w:p>
            <w:pPr>
              <w:snapToGrid w:val="0"/>
              <w:spacing w:line="360" w:lineRule="auto"/>
              <w:rPr>
                <w:rFonts w:ascii="华文楷体" w:hAnsi="华文楷体" w:eastAsia="华文楷体" w:cs="华文楷体"/>
                <w:b/>
                <w:bCs/>
                <w:szCs w:val="21"/>
              </w:rPr>
            </w:pPr>
            <w:r>
              <w:rPr>
                <w:rFonts w:hint="eastAsia" w:ascii="华文楷体" w:hAnsi="华文楷体" w:eastAsia="华文楷体" w:cs="华文楷体"/>
                <w:b/>
                <w:bCs/>
                <w:szCs w:val="21"/>
              </w:rPr>
              <w:t>4）业绩（满分3分）</w:t>
            </w:r>
          </w:p>
          <w:p>
            <w:pPr>
              <w:snapToGrid w:val="0"/>
              <w:spacing w:line="360" w:lineRule="auto"/>
              <w:rPr>
                <w:rFonts w:ascii="华文楷体" w:hAnsi="华文楷体" w:eastAsia="华文楷体" w:cs="华文楷体"/>
                <w:szCs w:val="21"/>
              </w:rPr>
            </w:pPr>
            <w:r>
              <w:rPr>
                <w:rFonts w:hint="eastAsia" w:ascii="华文楷体" w:hAnsi="华文楷体" w:eastAsia="华文楷体" w:cs="华文楷体"/>
                <w:szCs w:val="21"/>
                <w:highlight w:val="none"/>
              </w:rPr>
              <w:t>近三年类似</w:t>
            </w:r>
            <w:r>
              <w:rPr>
                <w:rFonts w:hint="eastAsia" w:ascii="华文楷体" w:hAnsi="华文楷体" w:eastAsia="华文楷体" w:cs="华文楷体"/>
                <w:szCs w:val="21"/>
              </w:rPr>
              <w:t>产品业绩证明文件（证明材料为有效合同或中标通知书扫描件）注：业绩的有效时间以合同签订时间为准，提供一项得1分，增加一项，加1分，加满为止。</w:t>
            </w:r>
          </w:p>
        </w:tc>
      </w:tr>
    </w:tbl>
    <w:p>
      <w:pPr>
        <w:pStyle w:val="3"/>
        <w:rPr>
          <w:rFonts w:ascii="华文楷体" w:hAnsi="华文楷体" w:eastAsia="华文楷体" w:cs="华文楷体"/>
          <w:sz w:val="24"/>
        </w:rPr>
      </w:pPr>
      <w:bookmarkStart w:id="20" w:name="_Toc138771431"/>
      <w:r>
        <w:rPr>
          <w:rFonts w:hint="eastAsia" w:ascii="华文楷体" w:hAnsi="华文楷体" w:eastAsia="华文楷体" w:cs="华文楷体"/>
          <w:sz w:val="24"/>
        </w:rPr>
        <w:t>一、评标方法</w:t>
      </w:r>
      <w:bookmarkEnd w:id="20"/>
    </w:p>
    <w:p>
      <w:pPr>
        <w:spacing w:line="360" w:lineRule="auto"/>
        <w:rPr>
          <w:rFonts w:ascii="华文楷体" w:hAnsi="华文楷体" w:eastAsia="华文楷体" w:cs="华文楷体"/>
          <w:b/>
          <w:bCs/>
          <w:sz w:val="24"/>
        </w:rPr>
      </w:pPr>
      <w:r>
        <w:rPr>
          <w:rFonts w:ascii="华文楷体" w:hAnsi="华文楷体" w:eastAsia="华文楷体" w:cs="华文楷体"/>
          <w:b/>
          <w:bCs/>
          <w:sz w:val="24"/>
        </w:rPr>
        <w:t>评标委员会对满足招标文件全部实质性要求（即通过资格性评审及符合性评审）的投标文件，按照本章前附表规定的评分标准进行打分，并按评标总得分计算公式计算评标总得分，按总得分由高到低的顺序推荐中标候选人；得分相同的，按投标报价由低到高顺序推荐;评标总得分及投标报价相等时，评标委员会将依次按技术部分得分高优先、商务部分得分高优先的顺序推荐；所有得分均相等</w:t>
      </w:r>
      <w:r>
        <w:rPr>
          <w:rFonts w:hint="eastAsia" w:ascii="华文楷体" w:hAnsi="华文楷体" w:eastAsia="华文楷体" w:cs="华文楷体"/>
          <w:b/>
          <w:bCs/>
          <w:sz w:val="24"/>
        </w:rPr>
        <w:t>的</w:t>
      </w:r>
      <w:r>
        <w:rPr>
          <w:rFonts w:ascii="华文楷体" w:hAnsi="华文楷体" w:eastAsia="华文楷体" w:cs="华文楷体"/>
          <w:b/>
          <w:bCs/>
          <w:sz w:val="24"/>
        </w:rPr>
        <w:t>，按主要技术指标高优先、质保期长优先、交货时间短优先、故障到达时间短优先的顺序推荐中标候选人。</w:t>
      </w:r>
    </w:p>
    <w:p>
      <w:pPr>
        <w:pStyle w:val="3"/>
        <w:rPr>
          <w:rFonts w:ascii="华文楷体" w:hAnsi="华文楷体" w:eastAsia="华文楷体" w:cs="华文楷体"/>
          <w:sz w:val="24"/>
        </w:rPr>
      </w:pPr>
      <w:bookmarkStart w:id="21" w:name="_Toc138771432"/>
      <w:r>
        <w:rPr>
          <w:rFonts w:hint="eastAsia" w:ascii="华文楷体" w:hAnsi="华文楷体" w:eastAsia="华文楷体" w:cs="华文楷体"/>
          <w:sz w:val="24"/>
        </w:rPr>
        <w:t>二、</w:t>
      </w:r>
      <w:r>
        <w:rPr>
          <w:rFonts w:ascii="华文楷体" w:hAnsi="华文楷体" w:eastAsia="华文楷体" w:cs="华文楷体"/>
          <w:sz w:val="24"/>
        </w:rPr>
        <w:t>评标程序及标准</w:t>
      </w:r>
      <w:bookmarkEnd w:id="21"/>
    </w:p>
    <w:p>
      <w:pPr>
        <w:spacing w:line="360" w:lineRule="auto"/>
        <w:outlineLvl w:val="2"/>
        <w:rPr>
          <w:rFonts w:ascii="华文楷体" w:hAnsi="华文楷体" w:eastAsia="华文楷体" w:cs="华文楷体"/>
          <w:sz w:val="24"/>
        </w:rPr>
      </w:pPr>
      <w:bookmarkStart w:id="22" w:name="_Toc138771433"/>
      <w:r>
        <w:rPr>
          <w:rFonts w:hint="eastAsia" w:ascii="华文楷体" w:hAnsi="华文楷体" w:eastAsia="华文楷体" w:cs="华文楷体"/>
          <w:sz w:val="24"/>
        </w:rPr>
        <w:t>2</w:t>
      </w:r>
      <w:r>
        <w:rPr>
          <w:rFonts w:ascii="华文楷体" w:hAnsi="华文楷体" w:eastAsia="华文楷体" w:cs="华文楷体"/>
          <w:sz w:val="24"/>
        </w:rPr>
        <w:t>.1符合性评审</w:t>
      </w:r>
      <w:bookmarkEnd w:id="22"/>
    </w:p>
    <w:p>
      <w:pPr>
        <w:spacing w:line="360" w:lineRule="auto"/>
        <w:rPr>
          <w:rFonts w:ascii="华文楷体" w:hAnsi="华文楷体" w:eastAsia="华文楷体" w:cs="华文楷体"/>
          <w:sz w:val="24"/>
        </w:rPr>
      </w:pPr>
      <w:r>
        <w:rPr>
          <w:rFonts w:ascii="华文楷体" w:hAnsi="华文楷体" w:eastAsia="华文楷体" w:cs="华文楷体"/>
          <w:sz w:val="24"/>
        </w:rPr>
        <w:t>依据招标文件的规定，评标委员会对符合资格的投标人的投标文件从有效性、完整性和对招标文件的实质性响应程度等方面进行审查，见评标方法前附表。</w:t>
      </w:r>
    </w:p>
    <w:p>
      <w:pPr>
        <w:spacing w:line="360" w:lineRule="auto"/>
        <w:outlineLvl w:val="2"/>
        <w:rPr>
          <w:rFonts w:ascii="华文楷体" w:hAnsi="华文楷体" w:eastAsia="华文楷体" w:cs="华文楷体"/>
          <w:sz w:val="24"/>
        </w:rPr>
      </w:pPr>
      <w:bookmarkStart w:id="23" w:name="_Toc138771434"/>
      <w:r>
        <w:rPr>
          <w:rFonts w:hint="eastAsia" w:ascii="华文楷体" w:hAnsi="华文楷体" w:eastAsia="华文楷体" w:cs="华文楷体"/>
          <w:sz w:val="24"/>
        </w:rPr>
        <w:t>2</w:t>
      </w:r>
      <w:r>
        <w:rPr>
          <w:rFonts w:ascii="华文楷体" w:hAnsi="华文楷体" w:eastAsia="华文楷体" w:cs="华文楷体"/>
          <w:sz w:val="24"/>
        </w:rPr>
        <w:t>.2详细评审</w:t>
      </w:r>
      <w:bookmarkEnd w:id="23"/>
    </w:p>
    <w:p>
      <w:pPr>
        <w:spacing w:line="360" w:lineRule="auto"/>
        <w:rPr>
          <w:rFonts w:ascii="华文楷体" w:hAnsi="华文楷体" w:eastAsia="华文楷体" w:cs="华文楷体"/>
          <w:sz w:val="24"/>
        </w:rPr>
      </w:pPr>
      <w:r>
        <w:rPr>
          <w:rFonts w:hint="eastAsia" w:ascii="华文楷体" w:hAnsi="华文楷体" w:eastAsia="华文楷体" w:cs="华文楷体"/>
          <w:sz w:val="24"/>
        </w:rPr>
        <w:t>2</w:t>
      </w:r>
      <w:r>
        <w:rPr>
          <w:rFonts w:ascii="华文楷体" w:hAnsi="华文楷体" w:eastAsia="华文楷体" w:cs="华文楷体"/>
          <w:sz w:val="24"/>
        </w:rPr>
        <w:t>.2.1评标委员会按照招标文件中规定的评标方法和标准，对符合性审查合格的投标文件进行商务和技术评估，综合比较与评价, 见评标方法前附表。</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w:t>
      </w:r>
      <w:r>
        <w:rPr>
          <w:rFonts w:ascii="华文楷体" w:hAnsi="华文楷体" w:eastAsia="华文楷体" w:cs="华文楷体"/>
          <w:sz w:val="24"/>
        </w:rPr>
        <w:t>.2.2评标委员会各成员要依法独立评审，并对评审意见承担个人责任。对投标人的客观评分项的评分应当一致，对其他需要借助专业知识评判的主观评分项，应当严格按照评分细则公正评分。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w:t>
      </w:r>
      <w:r>
        <w:rPr>
          <w:rFonts w:ascii="华文楷体" w:hAnsi="华文楷体" w:eastAsia="华文楷体" w:cs="华文楷体"/>
          <w:sz w:val="24"/>
        </w:rPr>
        <w:t>.2.3评标委员会成员对需要共同认定的事项存在争议的，按照少数服从多数的原则做出结论。持不同意见的评标委员会成员应当在评标报告上签署不同意见并说明理由，否则视为同意。</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2</w:t>
      </w:r>
      <w:r>
        <w:rPr>
          <w:rFonts w:ascii="华文楷体" w:hAnsi="华文楷体" w:eastAsia="华文楷体" w:cs="华文楷体"/>
          <w:sz w:val="24"/>
        </w:rPr>
        <w:t>.2.4投标文件报价出现前后不一致的，按照下列规定修正：</w:t>
      </w:r>
    </w:p>
    <w:p>
      <w:pPr>
        <w:spacing w:line="360" w:lineRule="auto"/>
        <w:rPr>
          <w:rFonts w:ascii="华文楷体" w:hAnsi="华文楷体" w:eastAsia="华文楷体" w:cs="华文楷体"/>
          <w:sz w:val="24"/>
        </w:rPr>
      </w:pPr>
      <w:r>
        <w:rPr>
          <w:rFonts w:ascii="华文楷体" w:hAnsi="华文楷体" w:eastAsia="华文楷体" w:cs="华文楷体"/>
          <w:sz w:val="24"/>
        </w:rPr>
        <w:t>（一）投标文件中开标一览表（报价表）内容与投标文件中相应内容不一致的，以开标一览表（报价表）为准；（二）大写金额和小写金额不一致的，以大写金额为准；（三）单价金额小数点或者百分比有明显错位的，以开标一览表的总价为准，并修改单价；</w:t>
      </w:r>
      <w:r>
        <w:rPr>
          <w:rFonts w:hint="eastAsia" w:ascii="华文楷体" w:hAnsi="华文楷体" w:eastAsia="华文楷体" w:cs="华文楷体"/>
          <w:sz w:val="24"/>
        </w:rPr>
        <w:t>（</w:t>
      </w:r>
      <w:r>
        <w:rPr>
          <w:rFonts w:ascii="华文楷体" w:hAnsi="华文楷体" w:eastAsia="华文楷体" w:cs="华文楷体"/>
          <w:sz w:val="24"/>
        </w:rPr>
        <w:t>四）总价金额与按单价汇总金额不一致的，以单价金额计算结果为准。</w:t>
      </w:r>
    </w:p>
    <w:p>
      <w:pPr>
        <w:spacing w:line="360" w:lineRule="auto"/>
        <w:rPr>
          <w:rFonts w:ascii="华文楷体" w:hAnsi="华文楷体" w:eastAsia="华文楷体" w:cs="华文楷体"/>
          <w:sz w:val="24"/>
        </w:rPr>
      </w:pPr>
      <w:r>
        <w:rPr>
          <w:rFonts w:ascii="华文楷体" w:hAnsi="华文楷体" w:eastAsia="华文楷体" w:cs="华文楷体"/>
          <w:b/>
          <w:bCs/>
          <w:sz w:val="24"/>
        </w:rPr>
        <w:t>所有计算结果均保留小数点后两位</w:t>
      </w:r>
      <w:r>
        <w:rPr>
          <w:rFonts w:ascii="华文楷体" w:hAnsi="华文楷体" w:eastAsia="华文楷体" w:cs="华文楷体"/>
          <w:sz w:val="24"/>
        </w:rPr>
        <w:t>，小数点后第三位“四舍五入”。</w:t>
      </w:r>
    </w:p>
    <w:p>
      <w:pPr>
        <w:spacing w:line="360" w:lineRule="auto"/>
        <w:rPr>
          <w:rFonts w:ascii="华文楷体" w:hAnsi="华文楷体" w:eastAsia="华文楷体" w:cs="华文楷体"/>
          <w:sz w:val="24"/>
        </w:rPr>
      </w:pPr>
      <w:r>
        <w:rPr>
          <w:rFonts w:ascii="华文楷体" w:hAnsi="华文楷体" w:eastAsia="华文楷体" w:cs="华文楷体"/>
          <w:sz w:val="24"/>
        </w:rPr>
        <w:t>★</w:t>
      </w:r>
      <w:r>
        <w:rPr>
          <w:rFonts w:hint="eastAsia" w:ascii="华文楷体" w:hAnsi="华文楷体" w:eastAsia="华文楷体" w:cs="华文楷体"/>
          <w:sz w:val="24"/>
        </w:rPr>
        <w:t>2</w:t>
      </w:r>
      <w:r>
        <w:rPr>
          <w:rFonts w:ascii="华文楷体" w:hAnsi="华文楷体" w:eastAsia="华文楷体" w:cs="华文楷体"/>
          <w:sz w:val="24"/>
        </w:rPr>
        <w:t>.2.</w:t>
      </w:r>
      <w:r>
        <w:rPr>
          <w:rFonts w:hint="eastAsia" w:ascii="华文楷体" w:hAnsi="华文楷体" w:eastAsia="华文楷体" w:cs="华文楷体"/>
          <w:sz w:val="24"/>
        </w:rPr>
        <w:t>5</w:t>
      </w:r>
      <w:r>
        <w:rPr>
          <w:rFonts w:ascii="华文楷体" w:hAnsi="华文楷体" w:eastAsia="华文楷体" w:cs="华文楷体"/>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
        <w:rPr>
          <w:rFonts w:ascii="华文楷体" w:hAnsi="华文楷体" w:eastAsia="华文楷体" w:cs="华文楷体"/>
          <w:sz w:val="24"/>
        </w:rPr>
      </w:pPr>
      <w:bookmarkStart w:id="24" w:name="_Toc138771435"/>
      <w:r>
        <w:rPr>
          <w:rFonts w:hint="eastAsia" w:ascii="华文楷体" w:hAnsi="华文楷体" w:eastAsia="华文楷体" w:cs="华文楷体"/>
          <w:sz w:val="24"/>
        </w:rPr>
        <w:t>三、</w:t>
      </w:r>
      <w:r>
        <w:rPr>
          <w:rFonts w:ascii="华文楷体" w:hAnsi="华文楷体" w:eastAsia="华文楷体" w:cs="华文楷体"/>
          <w:sz w:val="24"/>
        </w:rPr>
        <w:t>投标文件的澄清</w:t>
      </w:r>
      <w:bookmarkEnd w:id="24"/>
    </w:p>
    <w:p>
      <w:pPr>
        <w:spacing w:line="360" w:lineRule="auto"/>
        <w:rPr>
          <w:rFonts w:ascii="华文楷体" w:hAnsi="华文楷体" w:eastAsia="华文楷体" w:cs="华文楷体"/>
          <w:sz w:val="24"/>
        </w:rPr>
      </w:pPr>
      <w:r>
        <w:rPr>
          <w:rFonts w:hint="eastAsia" w:ascii="华文楷体" w:hAnsi="华文楷体" w:eastAsia="华文楷体" w:cs="华文楷体"/>
          <w:sz w:val="24"/>
        </w:rPr>
        <w:t>3</w:t>
      </w:r>
      <w:r>
        <w:rPr>
          <w:rFonts w:ascii="华文楷体" w:hAnsi="华文楷体" w:eastAsia="华文楷体" w:cs="华文楷体"/>
          <w:sz w:val="24"/>
        </w:rPr>
        <w:t>.1在评标过程中，评标委员会可以书面形式要求投标人对所提交的投标文件中含义不明确、同类问题表述不一致或者有明显文字和计算错误的内容，进行书面澄清或说明。评标委员会不接受投标人主动提出的澄清、说明。</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3</w:t>
      </w:r>
      <w:r>
        <w:rPr>
          <w:rFonts w:ascii="华文楷体" w:hAnsi="华文楷体" w:eastAsia="华文楷体" w:cs="华文楷体"/>
          <w:sz w:val="24"/>
        </w:rPr>
        <w:t>.2投标人的澄清、说明应当采用书面形式，由法定代表人或其授权的代表签字，澄清事项不得超出投标文件的范围并不得改变投标文件的实质性内容（算术性错误修正的除外）。投标人的书面澄清、说明属于投标文件的组成部分。</w:t>
      </w:r>
    </w:p>
    <w:p>
      <w:pPr>
        <w:spacing w:line="360" w:lineRule="auto"/>
        <w:rPr>
          <w:rFonts w:ascii="华文楷体" w:hAnsi="华文楷体" w:eastAsia="华文楷体" w:cs="华文楷体"/>
          <w:sz w:val="24"/>
        </w:rPr>
      </w:pPr>
      <w:r>
        <w:rPr>
          <w:rFonts w:hint="eastAsia" w:ascii="华文楷体" w:hAnsi="华文楷体" w:eastAsia="华文楷体" w:cs="华文楷体"/>
          <w:sz w:val="24"/>
        </w:rPr>
        <w:t>3</w:t>
      </w:r>
      <w:r>
        <w:rPr>
          <w:rFonts w:ascii="华文楷体" w:hAnsi="华文楷体" w:eastAsia="华文楷体" w:cs="华文楷体"/>
          <w:sz w:val="24"/>
        </w:rPr>
        <w:t>.3评标委员会对投标人提交的澄清、说明有疑问的，可以要求投标人进一步澄清、说明。</w:t>
      </w:r>
    </w:p>
    <w:p>
      <w:pPr>
        <w:pStyle w:val="3"/>
        <w:rPr>
          <w:rFonts w:ascii="华文楷体" w:hAnsi="华文楷体" w:eastAsia="华文楷体" w:cs="华文楷体"/>
          <w:sz w:val="24"/>
        </w:rPr>
      </w:pPr>
      <w:bookmarkStart w:id="25" w:name="_Toc138771436"/>
      <w:r>
        <w:rPr>
          <w:rFonts w:hint="eastAsia" w:ascii="华文楷体" w:hAnsi="华文楷体" w:eastAsia="华文楷体" w:cs="华文楷体"/>
          <w:sz w:val="24"/>
        </w:rPr>
        <w:t>四、</w:t>
      </w:r>
      <w:r>
        <w:rPr>
          <w:rFonts w:ascii="华文楷体" w:hAnsi="华文楷体" w:eastAsia="华文楷体" w:cs="华文楷体"/>
          <w:sz w:val="24"/>
        </w:rPr>
        <w:t>评标结果</w:t>
      </w:r>
      <w:bookmarkEnd w:id="25"/>
    </w:p>
    <w:p>
      <w:pPr>
        <w:spacing w:line="360" w:lineRule="auto"/>
        <w:rPr>
          <w:rFonts w:ascii="华文楷体" w:hAnsi="华文楷体" w:eastAsia="华文楷体" w:cs="华文楷体"/>
          <w:sz w:val="24"/>
        </w:rPr>
      </w:pPr>
      <w:r>
        <w:rPr>
          <w:rFonts w:ascii="华文楷体" w:hAnsi="华文楷体" w:eastAsia="华文楷体" w:cs="华文楷体"/>
          <w:sz w:val="24"/>
        </w:rPr>
        <w:t>评标委员会按最终得分由高到低顺序推荐</w:t>
      </w:r>
      <w:r>
        <w:rPr>
          <w:rFonts w:hint="eastAsia" w:ascii="华文楷体" w:hAnsi="华文楷体" w:eastAsia="华文楷体" w:cs="华文楷体"/>
          <w:sz w:val="24"/>
        </w:rPr>
        <w:t>1</w:t>
      </w:r>
      <w:r>
        <w:rPr>
          <w:rFonts w:ascii="华文楷体" w:hAnsi="华文楷体" w:eastAsia="华文楷体" w:cs="华文楷体"/>
          <w:sz w:val="24"/>
        </w:rPr>
        <w:t>名中标候选人。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ZGY0MjljZWIzZDRjNzQ3ZGM0NWFiNzZhY2U0NTAifQ=="/>
  </w:docVars>
  <w:rsids>
    <w:rsidRoot w:val="68ED23A1"/>
    <w:rsid w:val="00076904"/>
    <w:rsid w:val="000C0455"/>
    <w:rsid w:val="00133DB2"/>
    <w:rsid w:val="00183996"/>
    <w:rsid w:val="001B3972"/>
    <w:rsid w:val="003B1E63"/>
    <w:rsid w:val="00406957"/>
    <w:rsid w:val="00414380"/>
    <w:rsid w:val="004549D0"/>
    <w:rsid w:val="00497C6F"/>
    <w:rsid w:val="004D2D8D"/>
    <w:rsid w:val="004D72FC"/>
    <w:rsid w:val="004E363B"/>
    <w:rsid w:val="004F7C34"/>
    <w:rsid w:val="00A32122"/>
    <w:rsid w:val="00AB5A16"/>
    <w:rsid w:val="00B437C8"/>
    <w:rsid w:val="00C50577"/>
    <w:rsid w:val="00D364A8"/>
    <w:rsid w:val="00E21AF5"/>
    <w:rsid w:val="00E31522"/>
    <w:rsid w:val="00EA7AED"/>
    <w:rsid w:val="00EF1D10"/>
    <w:rsid w:val="00F41B22"/>
    <w:rsid w:val="00FC012F"/>
    <w:rsid w:val="02527909"/>
    <w:rsid w:val="02C72BAA"/>
    <w:rsid w:val="05CB2422"/>
    <w:rsid w:val="068F4112"/>
    <w:rsid w:val="09042ECC"/>
    <w:rsid w:val="0C1338DB"/>
    <w:rsid w:val="0D734E63"/>
    <w:rsid w:val="0E643415"/>
    <w:rsid w:val="0E855FC4"/>
    <w:rsid w:val="0F9E7AAB"/>
    <w:rsid w:val="0FA5199F"/>
    <w:rsid w:val="12D83014"/>
    <w:rsid w:val="13697223"/>
    <w:rsid w:val="13AC2993"/>
    <w:rsid w:val="14365D9D"/>
    <w:rsid w:val="144F2FB5"/>
    <w:rsid w:val="15EA738E"/>
    <w:rsid w:val="17621B1C"/>
    <w:rsid w:val="17990AC3"/>
    <w:rsid w:val="185B4CFD"/>
    <w:rsid w:val="19955345"/>
    <w:rsid w:val="1AEB4C02"/>
    <w:rsid w:val="1CD12633"/>
    <w:rsid w:val="1DAC0F64"/>
    <w:rsid w:val="20764077"/>
    <w:rsid w:val="2252000B"/>
    <w:rsid w:val="23E11C32"/>
    <w:rsid w:val="24786AE6"/>
    <w:rsid w:val="24B9083D"/>
    <w:rsid w:val="25ED45CC"/>
    <w:rsid w:val="29DB6845"/>
    <w:rsid w:val="2A601E62"/>
    <w:rsid w:val="2ADE7ED4"/>
    <w:rsid w:val="2AF20BB1"/>
    <w:rsid w:val="2BB478D6"/>
    <w:rsid w:val="2C0B4C88"/>
    <w:rsid w:val="2C150DD4"/>
    <w:rsid w:val="2DDD0F76"/>
    <w:rsid w:val="2E335F99"/>
    <w:rsid w:val="31261223"/>
    <w:rsid w:val="314735EF"/>
    <w:rsid w:val="31871B4D"/>
    <w:rsid w:val="31ED5FEB"/>
    <w:rsid w:val="32110677"/>
    <w:rsid w:val="32291EC6"/>
    <w:rsid w:val="323B3CAF"/>
    <w:rsid w:val="3257620E"/>
    <w:rsid w:val="327B0B4B"/>
    <w:rsid w:val="344528F5"/>
    <w:rsid w:val="35211D9B"/>
    <w:rsid w:val="35E31CDC"/>
    <w:rsid w:val="371500A9"/>
    <w:rsid w:val="394C2C8D"/>
    <w:rsid w:val="39DE67D4"/>
    <w:rsid w:val="39ED1662"/>
    <w:rsid w:val="3C577B69"/>
    <w:rsid w:val="3C8E29D2"/>
    <w:rsid w:val="3C9A663B"/>
    <w:rsid w:val="3D5974B2"/>
    <w:rsid w:val="3DF801D3"/>
    <w:rsid w:val="3E461AAC"/>
    <w:rsid w:val="3EB23D9E"/>
    <w:rsid w:val="3EFA2028"/>
    <w:rsid w:val="41125031"/>
    <w:rsid w:val="41634E9A"/>
    <w:rsid w:val="43807971"/>
    <w:rsid w:val="43913EBA"/>
    <w:rsid w:val="44262D48"/>
    <w:rsid w:val="44B925B3"/>
    <w:rsid w:val="451352A6"/>
    <w:rsid w:val="491606A8"/>
    <w:rsid w:val="492B27BE"/>
    <w:rsid w:val="49522850"/>
    <w:rsid w:val="4B6E09B6"/>
    <w:rsid w:val="4BA47EEA"/>
    <w:rsid w:val="4BBB0C9C"/>
    <w:rsid w:val="4C475CD3"/>
    <w:rsid w:val="4C745061"/>
    <w:rsid w:val="4D3F7C5C"/>
    <w:rsid w:val="4FEF2F8E"/>
    <w:rsid w:val="500B3C3D"/>
    <w:rsid w:val="50AD62CB"/>
    <w:rsid w:val="52330126"/>
    <w:rsid w:val="528D7BAD"/>
    <w:rsid w:val="54E62EC5"/>
    <w:rsid w:val="5509232A"/>
    <w:rsid w:val="563F16EB"/>
    <w:rsid w:val="56A42CC7"/>
    <w:rsid w:val="579348A0"/>
    <w:rsid w:val="5AB407E7"/>
    <w:rsid w:val="5B0C6EC7"/>
    <w:rsid w:val="5D45372C"/>
    <w:rsid w:val="5D956ADA"/>
    <w:rsid w:val="5E47718C"/>
    <w:rsid w:val="5E5A3930"/>
    <w:rsid w:val="5F833E6F"/>
    <w:rsid w:val="5FAE3A14"/>
    <w:rsid w:val="600A22E9"/>
    <w:rsid w:val="61DD16C6"/>
    <w:rsid w:val="6379145E"/>
    <w:rsid w:val="660C7F1F"/>
    <w:rsid w:val="67710F5B"/>
    <w:rsid w:val="688370C4"/>
    <w:rsid w:val="68C71A5D"/>
    <w:rsid w:val="68ED23A1"/>
    <w:rsid w:val="698B7E77"/>
    <w:rsid w:val="6B4E599E"/>
    <w:rsid w:val="6CDC45D7"/>
    <w:rsid w:val="6CE81170"/>
    <w:rsid w:val="6CEF4F0F"/>
    <w:rsid w:val="7006779F"/>
    <w:rsid w:val="70AA7461"/>
    <w:rsid w:val="70F25AF9"/>
    <w:rsid w:val="70F62E47"/>
    <w:rsid w:val="71D359E0"/>
    <w:rsid w:val="7334527D"/>
    <w:rsid w:val="73A537A6"/>
    <w:rsid w:val="74165DE6"/>
    <w:rsid w:val="74172592"/>
    <w:rsid w:val="752E4D65"/>
    <w:rsid w:val="761A0506"/>
    <w:rsid w:val="79FD69F6"/>
    <w:rsid w:val="7B14159B"/>
    <w:rsid w:val="7CD0288C"/>
    <w:rsid w:val="7E6773A9"/>
    <w:rsid w:val="7EFE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0"/>
    <w:pPr>
      <w:jc w:val="left"/>
    </w:pPr>
  </w:style>
  <w:style w:type="paragraph" w:styleId="5">
    <w:name w:val="Body Text"/>
    <w:qFormat/>
    <w:uiPriority w:val="0"/>
    <w:pPr>
      <w:widowControl w:val="0"/>
      <w:spacing w:after="120"/>
      <w:jc w:val="both"/>
    </w:pPr>
    <w:rPr>
      <w:rFonts w:ascii="Calibri" w:hAnsi="Calibri" w:eastAsia="宋体" w:cs="Times New Roman"/>
      <w:kern w:val="2"/>
      <w:sz w:val="21"/>
      <w:szCs w:val="24"/>
      <w:lang w:val="zh-CN" w:eastAsia="zh-CN" w:bidi="ar-SA"/>
    </w:rPr>
  </w:style>
  <w:style w:type="paragraph" w:styleId="6">
    <w:name w:val="toc 3"/>
    <w:basedOn w:val="1"/>
    <w:next w:val="1"/>
    <w:qFormat/>
    <w:uiPriority w:val="39"/>
    <w:pPr>
      <w:ind w:left="840" w:leftChars="400"/>
    </w:pPr>
  </w:style>
  <w:style w:type="paragraph" w:styleId="7">
    <w:name w:val="Plain Text"/>
    <w:qFormat/>
    <w:uiPriority w:val="0"/>
    <w:pPr>
      <w:widowControl w:val="0"/>
      <w:jc w:val="both"/>
    </w:pPr>
    <w:rPr>
      <w:rFonts w:ascii="宋体" w:hAnsi="Calibri" w:eastAsia="宋体" w:cs="Times New Roman"/>
      <w:kern w:val="2"/>
      <w:sz w:val="21"/>
      <w:lang w:val="en-US" w:eastAsia="zh-CN" w:bidi="ar-SA"/>
    </w:rPr>
  </w:style>
  <w:style w:type="paragraph" w:styleId="8">
    <w:name w:val="Balloon Text"/>
    <w:basedOn w:val="1"/>
    <w:link w:val="19"/>
    <w:qFormat/>
    <w:uiPriority w:val="0"/>
    <w:rPr>
      <w:sz w:val="18"/>
      <w:szCs w:val="1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ind w:left="420" w:leftChars="200"/>
    </w:p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paragraph" w:customStyle="1" w:styleId="1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7">
    <w:name w:val="页眉 字符"/>
    <w:basedOn w:val="13"/>
    <w:link w:val="10"/>
    <w:qFormat/>
    <w:uiPriority w:val="0"/>
    <w:rPr>
      <w:kern w:val="2"/>
      <w:sz w:val="18"/>
      <w:szCs w:val="18"/>
    </w:rPr>
  </w:style>
  <w:style w:type="character" w:customStyle="1" w:styleId="18">
    <w:name w:val="页脚 字符"/>
    <w:basedOn w:val="13"/>
    <w:link w:val="9"/>
    <w:qFormat/>
    <w:uiPriority w:val="0"/>
    <w:rPr>
      <w:kern w:val="2"/>
      <w:sz w:val="18"/>
      <w:szCs w:val="18"/>
    </w:rPr>
  </w:style>
  <w:style w:type="character" w:customStyle="1" w:styleId="19">
    <w:name w:val="批注框文本 字符"/>
    <w:basedOn w:val="13"/>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8112</Words>
  <Characters>8490</Characters>
  <Lines>81</Lines>
  <Paragraphs>22</Paragraphs>
  <TotalTime>7</TotalTime>
  <ScaleCrop>false</ScaleCrop>
  <LinksUpToDate>false</LinksUpToDate>
  <CharactersWithSpaces>8679</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2021-12-20T00:24:00Z</dcterms:created>
  <dc:creator>123</dc:creator>
  <cp:lastModifiedBy>Administrator</cp:lastModifiedBy>
  <dcterms:modified xsi:type="dcterms:W3CDTF">2024-10-29T09:39:45Z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CDE7A2EDFE9844C8B98ACCD0ACBF6458</vt:lpwstr>
  </property>
</Properties>
</file>