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华文楷体" w:hAnsi="华文楷体" w:eastAsia="华文楷体" w:cs="华文楷体"/>
          <w:sz w:val="44"/>
          <w:szCs w:val="44"/>
          <w:lang w:val="en-US" w:eastAsia="zh-CN"/>
        </w:rPr>
      </w:pPr>
      <w:r>
        <w:rPr>
          <w:rFonts w:hint="eastAsia" w:ascii="华文楷体" w:hAnsi="华文楷体" w:eastAsia="华文楷体" w:cs="华文楷体"/>
          <w:sz w:val="44"/>
          <w:szCs w:val="44"/>
        </w:rPr>
        <w:t>昆明医科大学</w:t>
      </w:r>
      <w:r>
        <w:rPr>
          <w:rFonts w:hint="eastAsia" w:ascii="华文楷体" w:hAnsi="华文楷体" w:eastAsia="华文楷体" w:cs="华文楷体"/>
          <w:sz w:val="44"/>
          <w:szCs w:val="44"/>
          <w:lang w:val="en-US" w:eastAsia="zh-CN"/>
        </w:rPr>
        <w:t>第二附属医院</w:t>
      </w:r>
    </w:p>
    <w:p>
      <w:pPr>
        <w:jc w:val="center"/>
        <w:rPr>
          <w:rFonts w:ascii="华文楷体" w:hAnsi="华文楷体" w:eastAsia="华文楷体" w:cs="华文楷体"/>
          <w:sz w:val="44"/>
          <w:szCs w:val="44"/>
        </w:rPr>
      </w:pPr>
      <w:r>
        <w:rPr>
          <w:rFonts w:hint="eastAsia" w:ascii="华文楷体" w:hAnsi="华文楷体" w:eastAsia="华文楷体" w:cs="华文楷体"/>
          <w:sz w:val="44"/>
          <w:szCs w:val="44"/>
          <w:u w:val="single"/>
        </w:rPr>
        <w:t xml:space="preserve"> </w:t>
      </w:r>
      <w:r>
        <w:rPr>
          <w:rFonts w:hint="eastAsia" w:ascii="华文楷体" w:hAnsi="华文楷体" w:eastAsia="华文楷体" w:cs="华文楷体"/>
          <w:sz w:val="44"/>
          <w:szCs w:val="44"/>
          <w:u w:val="single"/>
          <w:lang w:val="en-US" w:eastAsia="zh-CN"/>
        </w:rPr>
        <w:t xml:space="preserve">    </w:t>
      </w:r>
      <w:r>
        <w:rPr>
          <w:rFonts w:hint="eastAsia" w:ascii="华文楷体" w:hAnsi="华文楷体" w:eastAsia="华文楷体" w:cs="华文楷体"/>
          <w:sz w:val="44"/>
          <w:szCs w:val="44"/>
          <w:u w:val="single"/>
        </w:rPr>
        <w:t xml:space="preserve"> </w:t>
      </w:r>
      <w:r>
        <w:rPr>
          <w:rFonts w:hint="eastAsia" w:ascii="华文楷体" w:hAnsi="华文楷体" w:eastAsia="华文楷体" w:cs="华文楷体"/>
          <w:sz w:val="44"/>
          <w:szCs w:val="44"/>
        </w:rPr>
        <w:t>采购项目</w:t>
      </w:r>
    </w:p>
    <w:p>
      <w:pPr>
        <w:rPr>
          <w:rFonts w:ascii="华文楷体" w:hAnsi="华文楷体" w:eastAsia="华文楷体" w:cs="华文楷体"/>
          <w:sz w:val="44"/>
          <w:szCs w:val="44"/>
        </w:rPr>
      </w:pPr>
    </w:p>
    <w:p>
      <w:pPr>
        <w:rPr>
          <w:rFonts w:ascii="华文楷体" w:hAnsi="华文楷体" w:eastAsia="华文楷体" w:cs="华文楷体"/>
          <w:sz w:val="44"/>
          <w:szCs w:val="44"/>
        </w:rPr>
      </w:pPr>
    </w:p>
    <w:p>
      <w:pPr>
        <w:jc w:val="center"/>
        <w:rPr>
          <w:rFonts w:ascii="华文楷体" w:hAnsi="华文楷体" w:eastAsia="华文楷体" w:cs="华文楷体"/>
          <w:sz w:val="44"/>
          <w:szCs w:val="44"/>
          <w:u w:val="single"/>
        </w:rPr>
      </w:pPr>
      <w:r>
        <w:rPr>
          <w:rFonts w:hint="eastAsia" w:ascii="华文楷体" w:hAnsi="华文楷体" w:eastAsia="华文楷体" w:cs="华文楷体"/>
          <w:sz w:val="44"/>
          <w:szCs w:val="44"/>
          <w:lang w:val="en-US" w:eastAsia="zh-CN"/>
        </w:rPr>
        <w:t>采 购</w:t>
      </w:r>
      <w:r>
        <w:rPr>
          <w:rFonts w:hint="eastAsia" w:ascii="华文楷体" w:hAnsi="华文楷体" w:eastAsia="华文楷体" w:cs="华文楷体"/>
          <w:sz w:val="44"/>
          <w:szCs w:val="44"/>
        </w:rPr>
        <w:t xml:space="preserve"> 文 件</w:t>
      </w:r>
    </w:p>
    <w:p>
      <w:pPr>
        <w:rPr>
          <w:rFonts w:ascii="华文楷体" w:hAnsi="华文楷体" w:eastAsia="华文楷体" w:cs="华文楷体"/>
          <w:sz w:val="44"/>
          <w:szCs w:val="44"/>
        </w:rPr>
      </w:pPr>
    </w:p>
    <w:p>
      <w:pPr>
        <w:rPr>
          <w:rFonts w:ascii="华文楷体" w:hAnsi="华文楷体" w:eastAsia="华文楷体" w:cs="华文楷体"/>
          <w:sz w:val="44"/>
          <w:szCs w:val="44"/>
        </w:rPr>
      </w:pPr>
    </w:p>
    <w:p>
      <w:pPr>
        <w:rPr>
          <w:rFonts w:ascii="华文楷体" w:hAnsi="华文楷体" w:eastAsia="华文楷体" w:cs="华文楷体"/>
          <w:sz w:val="44"/>
          <w:szCs w:val="44"/>
        </w:rPr>
      </w:pPr>
    </w:p>
    <w:p>
      <w:pPr>
        <w:jc w:val="center"/>
        <w:rPr>
          <w:rFonts w:hint="eastAsia" w:ascii="华文楷体" w:hAnsi="华文楷体" w:eastAsia="华文楷体" w:cs="华文楷体"/>
          <w:sz w:val="44"/>
          <w:szCs w:val="44"/>
          <w:lang w:val="en-US" w:eastAsia="zh-CN"/>
        </w:rPr>
      </w:pPr>
      <w:r>
        <w:rPr>
          <w:rFonts w:hint="eastAsia" w:ascii="华文楷体" w:hAnsi="华文楷体" w:eastAsia="华文楷体" w:cs="华文楷体"/>
          <w:sz w:val="44"/>
          <w:szCs w:val="44"/>
        </w:rPr>
        <w:t>采购人：昆明医科大学</w:t>
      </w:r>
      <w:r>
        <w:rPr>
          <w:rFonts w:hint="eastAsia" w:ascii="华文楷体" w:hAnsi="华文楷体" w:eastAsia="华文楷体" w:cs="华文楷体"/>
          <w:sz w:val="44"/>
          <w:szCs w:val="44"/>
          <w:lang w:val="en-US" w:eastAsia="zh-CN"/>
        </w:rPr>
        <w:t>第二附属医院</w:t>
      </w:r>
    </w:p>
    <w:p>
      <w:pPr>
        <w:jc w:val="center"/>
        <w:rPr>
          <w:rFonts w:hint="eastAsia" w:ascii="华文楷体" w:hAnsi="华文楷体" w:eastAsia="华文楷体" w:cs="华文楷体"/>
          <w:sz w:val="44"/>
          <w:szCs w:val="44"/>
          <w:lang w:val="en-US" w:eastAsia="zh-CN"/>
        </w:rPr>
      </w:pPr>
      <w:r>
        <w:rPr>
          <w:rFonts w:hint="eastAsia" w:ascii="华文楷体" w:hAnsi="华文楷体" w:eastAsia="华文楷体" w:cs="华文楷体"/>
          <w:sz w:val="44"/>
          <w:szCs w:val="44"/>
        </w:rPr>
        <w:t>二0</w:t>
      </w:r>
      <w:r>
        <w:rPr>
          <w:rFonts w:hint="eastAsia" w:ascii="华文楷体" w:hAnsi="华文楷体" w:eastAsia="华文楷体" w:cs="华文楷体"/>
          <w:sz w:val="44"/>
          <w:szCs w:val="44"/>
          <w:lang w:val="en-US" w:eastAsia="zh-CN"/>
        </w:rPr>
        <w:t xml:space="preserve">二    </w:t>
      </w:r>
      <w:r>
        <w:rPr>
          <w:rFonts w:hint="eastAsia" w:ascii="华文楷体" w:hAnsi="华文楷体" w:eastAsia="华文楷体" w:cs="华文楷体"/>
          <w:sz w:val="44"/>
          <w:szCs w:val="44"/>
        </w:rPr>
        <w:t>年</w:t>
      </w:r>
      <w:r>
        <w:rPr>
          <w:rFonts w:hint="eastAsia" w:ascii="华文楷体" w:hAnsi="华文楷体" w:eastAsia="华文楷体" w:cs="华文楷体"/>
          <w:sz w:val="44"/>
          <w:szCs w:val="44"/>
          <w:lang w:val="en-US" w:eastAsia="zh-CN"/>
        </w:rPr>
        <w:t xml:space="preserve">   月</w:t>
      </w:r>
    </w:p>
    <w:p>
      <w:pPr>
        <w:rPr>
          <w:rFonts w:ascii="华文楷体" w:hAnsi="华文楷体" w:eastAsia="华文楷体" w:cs="华文楷体"/>
        </w:rPr>
      </w:pPr>
    </w:p>
    <w:p>
      <w:pPr>
        <w:rPr>
          <w:rFonts w:ascii="华文楷体" w:hAnsi="华文楷体" w:eastAsia="华文楷体" w:cs="华文楷体"/>
        </w:rPr>
        <w:sectPr>
          <w:pgSz w:w="11906" w:h="16838"/>
          <w:pgMar w:top="1440" w:right="1800" w:bottom="1440" w:left="1800" w:header="851" w:footer="992" w:gutter="0"/>
          <w:cols w:space="425" w:num="1"/>
          <w:docGrid w:type="lines" w:linePitch="312" w:charSpace="0"/>
        </w:sectPr>
      </w:pPr>
    </w:p>
    <w:sdt>
      <w:sdtPr>
        <w:rPr>
          <w:rFonts w:ascii="宋体" w:hAnsi="宋体" w:eastAsia="宋体" w:cstheme="minorBidi"/>
          <w:kern w:val="2"/>
          <w:sz w:val="21"/>
          <w:szCs w:val="24"/>
          <w:lang w:val="en-US" w:eastAsia="zh-CN" w:bidi="ar-SA"/>
        </w:rPr>
        <w:id w:val="147453895"/>
        <w15:color w:val="DBDBDB"/>
        <w:docPartObj>
          <w:docPartGallery w:val="Table of Contents"/>
          <w:docPartUnique/>
        </w:docPartObj>
      </w:sdtPr>
      <w:sdtEndPr>
        <w:rPr>
          <w:rFonts w:ascii="方正楷体_GBK" w:hAnsi="方正楷体_GBK" w:eastAsia="方正楷体_GBK" w:cs="方正楷体_GBK"/>
          <w:b/>
          <w:kern w:val="2"/>
          <w:sz w:val="32"/>
          <w:szCs w:val="22"/>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7"/>
            <w:tabs>
              <w:tab w:val="right" w:leader="dot" w:pos="8306"/>
            </w:tabs>
          </w:pPr>
          <w:r>
            <w:rPr>
              <w:rFonts w:ascii="方正楷体_GBK" w:hAnsi="方正楷体_GBK" w:eastAsia="方正楷体_GBK" w:cs="方正楷体_GBK"/>
              <w:sz w:val="28"/>
              <w:szCs w:val="22"/>
            </w:rPr>
            <w:fldChar w:fldCharType="begin"/>
          </w:r>
          <w:r>
            <w:rPr>
              <w:rFonts w:ascii="方正楷体_GBK" w:hAnsi="方正楷体_GBK" w:eastAsia="方正楷体_GBK" w:cs="方正楷体_GBK"/>
              <w:sz w:val="28"/>
              <w:szCs w:val="22"/>
            </w:rPr>
            <w:instrText xml:space="preserve">TOC \o "1-2" \h \u </w:instrText>
          </w:r>
          <w:r>
            <w:rPr>
              <w:rFonts w:ascii="方正楷体_GBK" w:hAnsi="方正楷体_GBK" w:eastAsia="方正楷体_GBK" w:cs="方正楷体_GBK"/>
              <w:sz w:val="28"/>
              <w:szCs w:val="22"/>
            </w:rPr>
            <w:fldChar w:fldCharType="separate"/>
          </w:r>
          <w:r>
            <w:rPr>
              <w:rFonts w:ascii="方正楷体_GBK" w:hAnsi="方正楷体_GBK" w:eastAsia="方正楷体_GBK" w:cs="方正楷体_GBK"/>
              <w:szCs w:val="22"/>
            </w:rPr>
            <w:fldChar w:fldCharType="begin"/>
          </w:r>
          <w:r>
            <w:rPr>
              <w:rFonts w:ascii="方正楷体_GBK" w:hAnsi="方正楷体_GBK" w:eastAsia="方正楷体_GBK" w:cs="方正楷体_GBK"/>
              <w:szCs w:val="22"/>
            </w:rPr>
            <w:instrText xml:space="preserve"> HYPERLINK \l _Toc5265 </w:instrText>
          </w:r>
          <w:r>
            <w:rPr>
              <w:rFonts w:ascii="方正楷体_GBK" w:hAnsi="方正楷体_GBK" w:eastAsia="方正楷体_GBK" w:cs="方正楷体_GBK"/>
              <w:szCs w:val="22"/>
            </w:rPr>
            <w:fldChar w:fldCharType="separate"/>
          </w:r>
          <w:r>
            <w:rPr>
              <w:rFonts w:hint="eastAsia" w:ascii="方正楷体_GBK" w:hAnsi="方正楷体_GBK" w:eastAsia="方正楷体_GBK" w:cs="方正楷体_GBK"/>
              <w:szCs w:val="22"/>
            </w:rPr>
            <w:t xml:space="preserve">第一章 </w:t>
          </w:r>
          <w:r>
            <w:rPr>
              <w:rFonts w:hint="eastAsia" w:ascii="方正楷体_GBK" w:hAnsi="方正楷体_GBK" w:eastAsia="方正楷体_GBK" w:cs="方正楷体_GBK"/>
              <w:szCs w:val="22"/>
              <w:lang w:val="en-US" w:eastAsia="zh-CN"/>
            </w:rPr>
            <w:t>采购</w:t>
          </w:r>
          <w:r>
            <w:rPr>
              <w:rFonts w:hint="eastAsia" w:ascii="方正楷体_GBK" w:hAnsi="方正楷体_GBK" w:eastAsia="方正楷体_GBK" w:cs="方正楷体_GBK"/>
              <w:szCs w:val="22"/>
            </w:rPr>
            <w:t>公告</w:t>
          </w:r>
          <w:r>
            <w:tab/>
          </w:r>
          <w:r>
            <w:fldChar w:fldCharType="begin"/>
          </w:r>
          <w:r>
            <w:instrText xml:space="preserve"> PAGEREF _Toc5265 \h </w:instrText>
          </w:r>
          <w:r>
            <w:fldChar w:fldCharType="separate"/>
          </w:r>
          <w:r>
            <w:t>3</w:t>
          </w:r>
          <w:r>
            <w:fldChar w:fldCharType="end"/>
          </w:r>
          <w:r>
            <w:rPr>
              <w:rFonts w:ascii="方正楷体_GBK" w:hAnsi="方正楷体_GBK" w:eastAsia="方正楷体_GBK" w:cs="方正楷体_GBK"/>
              <w:szCs w:val="22"/>
            </w:rPr>
            <w:fldChar w:fldCharType="end"/>
          </w:r>
        </w:p>
        <w:p>
          <w:pPr>
            <w:pStyle w:val="7"/>
            <w:tabs>
              <w:tab w:val="right" w:leader="dot" w:pos="8306"/>
            </w:tabs>
          </w:pPr>
          <w:r>
            <w:rPr>
              <w:rFonts w:ascii="方正楷体_GBK" w:hAnsi="方正楷体_GBK" w:eastAsia="方正楷体_GBK" w:cs="方正楷体_GBK"/>
              <w:szCs w:val="22"/>
            </w:rPr>
            <w:fldChar w:fldCharType="begin"/>
          </w:r>
          <w:r>
            <w:rPr>
              <w:rFonts w:ascii="方正楷体_GBK" w:hAnsi="方正楷体_GBK" w:eastAsia="方正楷体_GBK" w:cs="方正楷体_GBK"/>
              <w:szCs w:val="22"/>
            </w:rPr>
            <w:instrText xml:space="preserve"> HYPERLINK \l _Toc25376 </w:instrText>
          </w:r>
          <w:r>
            <w:rPr>
              <w:rFonts w:ascii="方正楷体_GBK" w:hAnsi="方正楷体_GBK" w:eastAsia="方正楷体_GBK" w:cs="方正楷体_GBK"/>
              <w:szCs w:val="22"/>
            </w:rPr>
            <w:fldChar w:fldCharType="separate"/>
          </w:r>
          <w:r>
            <w:rPr>
              <w:rFonts w:hint="eastAsia" w:ascii="方正楷体_GBK" w:hAnsi="方正楷体_GBK" w:eastAsia="方正楷体_GBK" w:cs="方正楷体_GBK"/>
              <w:szCs w:val="22"/>
            </w:rPr>
            <w:t xml:space="preserve">第二章 </w:t>
          </w:r>
          <w:r>
            <w:rPr>
              <w:rFonts w:hint="eastAsia" w:ascii="方正楷体_GBK" w:hAnsi="方正楷体_GBK" w:eastAsia="方正楷体_GBK" w:cs="方正楷体_GBK"/>
              <w:szCs w:val="22"/>
              <w:lang w:val="en-US" w:eastAsia="zh-CN"/>
            </w:rPr>
            <w:t>响应</w:t>
          </w:r>
          <w:r>
            <w:rPr>
              <w:rFonts w:hint="eastAsia" w:ascii="方正楷体_GBK" w:hAnsi="方正楷体_GBK" w:eastAsia="方正楷体_GBK" w:cs="方正楷体_GBK"/>
              <w:szCs w:val="22"/>
            </w:rPr>
            <w:t>人须知</w:t>
          </w:r>
          <w:r>
            <w:tab/>
          </w:r>
          <w:r>
            <w:fldChar w:fldCharType="begin"/>
          </w:r>
          <w:r>
            <w:instrText xml:space="preserve"> PAGEREF _Toc25376 \h </w:instrText>
          </w:r>
          <w:r>
            <w:fldChar w:fldCharType="separate"/>
          </w:r>
          <w:r>
            <w:t>4</w:t>
          </w:r>
          <w:r>
            <w:fldChar w:fldCharType="end"/>
          </w:r>
          <w:r>
            <w:rPr>
              <w:rFonts w:ascii="方正楷体_GBK" w:hAnsi="方正楷体_GBK" w:eastAsia="方正楷体_GBK" w:cs="方正楷体_GBK"/>
              <w:szCs w:val="22"/>
            </w:rPr>
            <w:fldChar w:fldCharType="end"/>
          </w:r>
        </w:p>
        <w:p>
          <w:pPr>
            <w:pStyle w:val="7"/>
            <w:tabs>
              <w:tab w:val="right" w:leader="dot" w:pos="8306"/>
            </w:tabs>
            <w:ind w:firstLine="420" w:firstLineChars="200"/>
          </w:pPr>
          <w:r>
            <w:rPr>
              <w:rFonts w:ascii="方正楷体_GBK" w:hAnsi="方正楷体_GBK" w:eastAsia="方正楷体_GBK" w:cs="方正楷体_GBK"/>
              <w:szCs w:val="22"/>
            </w:rPr>
            <w:fldChar w:fldCharType="begin"/>
          </w:r>
          <w:r>
            <w:rPr>
              <w:rFonts w:ascii="方正楷体_GBK" w:hAnsi="方正楷体_GBK" w:eastAsia="方正楷体_GBK" w:cs="方正楷体_GBK"/>
              <w:szCs w:val="22"/>
            </w:rPr>
            <w:instrText xml:space="preserve"> HYPERLINK \l _Toc11917 </w:instrText>
          </w:r>
          <w:r>
            <w:rPr>
              <w:rFonts w:ascii="方正楷体_GBK" w:hAnsi="方正楷体_GBK" w:eastAsia="方正楷体_GBK" w:cs="方正楷体_GBK"/>
              <w:szCs w:val="22"/>
            </w:rPr>
            <w:fldChar w:fldCharType="separate"/>
          </w:r>
          <w:r>
            <w:rPr>
              <w:rFonts w:hint="eastAsia" w:ascii="华文楷体" w:hAnsi="华文楷体" w:eastAsia="华文楷体" w:cs="华文楷体"/>
            </w:rPr>
            <w:t>一、</w:t>
          </w:r>
          <w:r>
            <w:rPr>
              <w:rFonts w:hint="eastAsia" w:ascii="华文楷体" w:hAnsi="华文楷体" w:eastAsia="华文楷体" w:cs="华文楷体"/>
              <w:lang w:val="en-US" w:eastAsia="zh-CN"/>
            </w:rPr>
            <w:t>供应商资格要求</w:t>
          </w:r>
          <w:r>
            <w:rPr>
              <w:rFonts w:hint="eastAsia" w:ascii="华文楷体" w:hAnsi="华文楷体" w:eastAsia="华文楷体" w:cs="华文楷体"/>
            </w:rPr>
            <w:t>（见第一章“采购公告”）</w:t>
          </w:r>
          <w:r>
            <w:tab/>
          </w:r>
          <w:r>
            <w:fldChar w:fldCharType="begin"/>
          </w:r>
          <w:r>
            <w:instrText xml:space="preserve"> PAGEREF _Toc11917 \h </w:instrText>
          </w:r>
          <w:r>
            <w:fldChar w:fldCharType="separate"/>
          </w:r>
          <w:r>
            <w:t>5</w:t>
          </w:r>
          <w:r>
            <w:fldChar w:fldCharType="end"/>
          </w:r>
          <w:r>
            <w:rPr>
              <w:rFonts w:ascii="方正楷体_GBK" w:hAnsi="方正楷体_GBK" w:eastAsia="方正楷体_GBK" w:cs="方正楷体_GBK"/>
              <w:szCs w:val="22"/>
            </w:rPr>
            <w:fldChar w:fldCharType="end"/>
          </w:r>
        </w:p>
        <w:p>
          <w:pPr>
            <w:pStyle w:val="7"/>
            <w:tabs>
              <w:tab w:val="right" w:leader="dot" w:pos="8306"/>
            </w:tabs>
            <w:ind w:firstLine="420" w:firstLineChars="200"/>
          </w:pPr>
          <w:r>
            <w:rPr>
              <w:rFonts w:ascii="方正楷体_GBK" w:hAnsi="方正楷体_GBK" w:eastAsia="方正楷体_GBK" w:cs="方正楷体_GBK"/>
              <w:szCs w:val="22"/>
            </w:rPr>
            <w:fldChar w:fldCharType="begin"/>
          </w:r>
          <w:r>
            <w:rPr>
              <w:rFonts w:ascii="方正楷体_GBK" w:hAnsi="方正楷体_GBK" w:eastAsia="方正楷体_GBK" w:cs="方正楷体_GBK"/>
              <w:szCs w:val="22"/>
            </w:rPr>
            <w:instrText xml:space="preserve"> HYPERLINK \l _Toc9135 </w:instrText>
          </w:r>
          <w:r>
            <w:rPr>
              <w:rFonts w:ascii="方正楷体_GBK" w:hAnsi="方正楷体_GBK" w:eastAsia="方正楷体_GBK" w:cs="方正楷体_GBK"/>
              <w:szCs w:val="22"/>
            </w:rPr>
            <w:fldChar w:fldCharType="separate"/>
          </w:r>
          <w:r>
            <w:rPr>
              <w:rFonts w:hint="eastAsia" w:ascii="华文楷体" w:hAnsi="华文楷体" w:eastAsia="华文楷体" w:cs="华文楷体"/>
            </w:rPr>
            <w:t>二、</w:t>
          </w:r>
          <w:r>
            <w:rPr>
              <w:rFonts w:hint="eastAsia" w:ascii="华文楷体" w:hAnsi="华文楷体" w:eastAsia="华文楷体" w:cs="华文楷体"/>
              <w:lang w:eastAsia="zh-CN"/>
            </w:rPr>
            <w:t>采购</w:t>
          </w:r>
          <w:r>
            <w:rPr>
              <w:rFonts w:hint="eastAsia" w:ascii="华文楷体" w:hAnsi="华文楷体" w:eastAsia="华文楷体" w:cs="华文楷体"/>
            </w:rPr>
            <w:t>文件</w:t>
          </w:r>
          <w:r>
            <w:tab/>
          </w:r>
          <w:r>
            <w:fldChar w:fldCharType="begin"/>
          </w:r>
          <w:r>
            <w:instrText xml:space="preserve"> PAGEREF _Toc9135 \h </w:instrText>
          </w:r>
          <w:r>
            <w:fldChar w:fldCharType="separate"/>
          </w:r>
          <w:r>
            <w:t>5</w:t>
          </w:r>
          <w:r>
            <w:fldChar w:fldCharType="end"/>
          </w:r>
          <w:r>
            <w:rPr>
              <w:rFonts w:ascii="方正楷体_GBK" w:hAnsi="方正楷体_GBK" w:eastAsia="方正楷体_GBK" w:cs="方正楷体_GBK"/>
              <w:szCs w:val="22"/>
            </w:rPr>
            <w:fldChar w:fldCharType="end"/>
          </w:r>
        </w:p>
        <w:p>
          <w:pPr>
            <w:pStyle w:val="7"/>
            <w:tabs>
              <w:tab w:val="right" w:leader="dot" w:pos="8306"/>
            </w:tabs>
            <w:ind w:firstLine="420" w:firstLineChars="200"/>
          </w:pPr>
          <w:r>
            <w:rPr>
              <w:rFonts w:ascii="方正楷体_GBK" w:hAnsi="方正楷体_GBK" w:eastAsia="方正楷体_GBK" w:cs="方正楷体_GBK"/>
              <w:szCs w:val="22"/>
            </w:rPr>
            <w:fldChar w:fldCharType="begin"/>
          </w:r>
          <w:r>
            <w:rPr>
              <w:rFonts w:ascii="方正楷体_GBK" w:hAnsi="方正楷体_GBK" w:eastAsia="方正楷体_GBK" w:cs="方正楷体_GBK"/>
              <w:szCs w:val="22"/>
            </w:rPr>
            <w:instrText xml:space="preserve"> HYPERLINK \l _Toc2042 </w:instrText>
          </w:r>
          <w:r>
            <w:rPr>
              <w:rFonts w:ascii="方正楷体_GBK" w:hAnsi="方正楷体_GBK" w:eastAsia="方正楷体_GBK" w:cs="方正楷体_GBK"/>
              <w:szCs w:val="22"/>
            </w:rPr>
            <w:fldChar w:fldCharType="separate"/>
          </w:r>
          <w:r>
            <w:rPr>
              <w:rFonts w:hint="eastAsia" w:ascii="华文楷体" w:hAnsi="华文楷体" w:eastAsia="华文楷体" w:cs="华文楷体"/>
            </w:rPr>
            <w:t>三、</w:t>
          </w:r>
          <w:r>
            <w:rPr>
              <w:rFonts w:hint="eastAsia" w:ascii="华文楷体" w:hAnsi="华文楷体" w:eastAsia="华文楷体" w:cs="华文楷体"/>
              <w:lang w:eastAsia="zh-CN"/>
            </w:rPr>
            <w:t>响应</w:t>
          </w:r>
          <w:r>
            <w:rPr>
              <w:rFonts w:hint="eastAsia" w:ascii="华文楷体" w:hAnsi="华文楷体" w:eastAsia="华文楷体" w:cs="华文楷体"/>
            </w:rPr>
            <w:t>文件</w:t>
          </w:r>
          <w:r>
            <w:tab/>
          </w:r>
          <w:r>
            <w:fldChar w:fldCharType="begin"/>
          </w:r>
          <w:r>
            <w:instrText xml:space="preserve"> PAGEREF _Toc2042 \h </w:instrText>
          </w:r>
          <w:r>
            <w:fldChar w:fldCharType="separate"/>
          </w:r>
          <w:r>
            <w:t>6</w:t>
          </w:r>
          <w:r>
            <w:fldChar w:fldCharType="end"/>
          </w:r>
          <w:r>
            <w:rPr>
              <w:rFonts w:ascii="方正楷体_GBK" w:hAnsi="方正楷体_GBK" w:eastAsia="方正楷体_GBK" w:cs="方正楷体_GBK"/>
              <w:szCs w:val="22"/>
            </w:rPr>
            <w:fldChar w:fldCharType="end"/>
          </w:r>
        </w:p>
        <w:p>
          <w:pPr>
            <w:pStyle w:val="7"/>
            <w:tabs>
              <w:tab w:val="right" w:leader="dot" w:pos="8306"/>
            </w:tabs>
            <w:ind w:firstLine="420" w:firstLineChars="200"/>
          </w:pPr>
          <w:r>
            <w:rPr>
              <w:rFonts w:ascii="方正楷体_GBK" w:hAnsi="方正楷体_GBK" w:eastAsia="方正楷体_GBK" w:cs="方正楷体_GBK"/>
              <w:szCs w:val="22"/>
            </w:rPr>
            <w:fldChar w:fldCharType="begin"/>
          </w:r>
          <w:r>
            <w:rPr>
              <w:rFonts w:ascii="方正楷体_GBK" w:hAnsi="方正楷体_GBK" w:eastAsia="方正楷体_GBK" w:cs="方正楷体_GBK"/>
              <w:szCs w:val="22"/>
            </w:rPr>
            <w:instrText xml:space="preserve"> HYPERLINK \l _Toc29234 </w:instrText>
          </w:r>
          <w:r>
            <w:rPr>
              <w:rFonts w:ascii="方正楷体_GBK" w:hAnsi="方正楷体_GBK" w:eastAsia="方正楷体_GBK" w:cs="方正楷体_GBK"/>
              <w:szCs w:val="22"/>
            </w:rPr>
            <w:fldChar w:fldCharType="separate"/>
          </w:r>
          <w:r>
            <w:rPr>
              <w:rFonts w:hint="eastAsia" w:ascii="华文楷体" w:hAnsi="华文楷体" w:eastAsia="华文楷体" w:cs="华文楷体"/>
            </w:rPr>
            <w:t>四、响应文件递交</w:t>
          </w:r>
          <w:r>
            <w:tab/>
          </w:r>
          <w:r>
            <w:fldChar w:fldCharType="begin"/>
          </w:r>
          <w:r>
            <w:instrText xml:space="preserve"> PAGEREF _Toc29234 \h </w:instrText>
          </w:r>
          <w:r>
            <w:fldChar w:fldCharType="separate"/>
          </w:r>
          <w:r>
            <w:t>7</w:t>
          </w:r>
          <w:r>
            <w:fldChar w:fldCharType="end"/>
          </w:r>
          <w:r>
            <w:rPr>
              <w:rFonts w:ascii="方正楷体_GBK" w:hAnsi="方正楷体_GBK" w:eastAsia="方正楷体_GBK" w:cs="方正楷体_GBK"/>
              <w:szCs w:val="22"/>
            </w:rPr>
            <w:fldChar w:fldCharType="end"/>
          </w:r>
        </w:p>
        <w:p>
          <w:pPr>
            <w:pStyle w:val="7"/>
            <w:tabs>
              <w:tab w:val="right" w:leader="dot" w:pos="8306"/>
            </w:tabs>
            <w:ind w:firstLine="420" w:firstLineChars="200"/>
          </w:pPr>
          <w:r>
            <w:rPr>
              <w:rFonts w:ascii="方正楷体_GBK" w:hAnsi="方正楷体_GBK" w:eastAsia="方正楷体_GBK" w:cs="方正楷体_GBK"/>
              <w:szCs w:val="22"/>
            </w:rPr>
            <w:fldChar w:fldCharType="begin"/>
          </w:r>
          <w:r>
            <w:rPr>
              <w:rFonts w:ascii="方正楷体_GBK" w:hAnsi="方正楷体_GBK" w:eastAsia="方正楷体_GBK" w:cs="方正楷体_GBK"/>
              <w:szCs w:val="22"/>
            </w:rPr>
            <w:instrText xml:space="preserve"> HYPERLINK \l _Toc1969 </w:instrText>
          </w:r>
          <w:r>
            <w:rPr>
              <w:rFonts w:ascii="方正楷体_GBK" w:hAnsi="方正楷体_GBK" w:eastAsia="方正楷体_GBK" w:cs="方正楷体_GBK"/>
              <w:szCs w:val="22"/>
            </w:rPr>
            <w:fldChar w:fldCharType="separate"/>
          </w:r>
          <w:r>
            <w:rPr>
              <w:rFonts w:hint="eastAsia" w:ascii="华文楷体" w:hAnsi="华文楷体" w:eastAsia="华文楷体" w:cs="华文楷体"/>
            </w:rPr>
            <w:t>五、</w:t>
          </w:r>
          <w:r>
            <w:rPr>
              <w:rFonts w:hint="eastAsia" w:ascii="华文楷体" w:hAnsi="华文楷体" w:eastAsia="华文楷体" w:cs="华文楷体"/>
              <w:lang w:eastAsia="zh-CN"/>
            </w:rPr>
            <w:t>评审</w:t>
          </w:r>
          <w:r>
            <w:tab/>
          </w:r>
          <w:r>
            <w:fldChar w:fldCharType="begin"/>
          </w:r>
          <w:r>
            <w:instrText xml:space="preserve"> PAGEREF _Toc1969 \h </w:instrText>
          </w:r>
          <w:r>
            <w:fldChar w:fldCharType="separate"/>
          </w:r>
          <w:r>
            <w:t>7</w:t>
          </w:r>
          <w:r>
            <w:fldChar w:fldCharType="end"/>
          </w:r>
          <w:r>
            <w:rPr>
              <w:rFonts w:ascii="方正楷体_GBK" w:hAnsi="方正楷体_GBK" w:eastAsia="方正楷体_GBK" w:cs="方正楷体_GBK"/>
              <w:szCs w:val="22"/>
            </w:rPr>
            <w:fldChar w:fldCharType="end"/>
          </w:r>
        </w:p>
        <w:p>
          <w:pPr>
            <w:pStyle w:val="7"/>
            <w:tabs>
              <w:tab w:val="right" w:leader="dot" w:pos="8306"/>
            </w:tabs>
            <w:ind w:firstLine="420" w:firstLineChars="200"/>
          </w:pPr>
          <w:r>
            <w:rPr>
              <w:rFonts w:ascii="方正楷体_GBK" w:hAnsi="方正楷体_GBK" w:eastAsia="方正楷体_GBK" w:cs="方正楷体_GBK"/>
              <w:szCs w:val="22"/>
            </w:rPr>
            <w:fldChar w:fldCharType="begin"/>
          </w:r>
          <w:r>
            <w:rPr>
              <w:rFonts w:ascii="方正楷体_GBK" w:hAnsi="方正楷体_GBK" w:eastAsia="方正楷体_GBK" w:cs="方正楷体_GBK"/>
              <w:szCs w:val="22"/>
            </w:rPr>
            <w:instrText xml:space="preserve"> HYPERLINK \l _Toc15977 </w:instrText>
          </w:r>
          <w:r>
            <w:rPr>
              <w:rFonts w:ascii="方正楷体_GBK" w:hAnsi="方正楷体_GBK" w:eastAsia="方正楷体_GBK" w:cs="方正楷体_GBK"/>
              <w:szCs w:val="22"/>
            </w:rPr>
            <w:fldChar w:fldCharType="separate"/>
          </w:r>
          <w:r>
            <w:rPr>
              <w:rFonts w:hint="eastAsia" w:ascii="华文楷体" w:hAnsi="华文楷体" w:eastAsia="华文楷体" w:cs="华文楷体"/>
            </w:rPr>
            <w:t>六、中标结果</w:t>
          </w:r>
          <w:r>
            <w:tab/>
          </w:r>
          <w:r>
            <w:fldChar w:fldCharType="begin"/>
          </w:r>
          <w:r>
            <w:instrText xml:space="preserve"> PAGEREF _Toc15977 \h </w:instrText>
          </w:r>
          <w:r>
            <w:fldChar w:fldCharType="separate"/>
          </w:r>
          <w:r>
            <w:t>8</w:t>
          </w:r>
          <w:r>
            <w:fldChar w:fldCharType="end"/>
          </w:r>
          <w:r>
            <w:rPr>
              <w:rFonts w:ascii="方正楷体_GBK" w:hAnsi="方正楷体_GBK" w:eastAsia="方正楷体_GBK" w:cs="方正楷体_GBK"/>
              <w:szCs w:val="22"/>
            </w:rPr>
            <w:fldChar w:fldCharType="end"/>
          </w:r>
        </w:p>
        <w:p>
          <w:pPr>
            <w:pStyle w:val="7"/>
            <w:tabs>
              <w:tab w:val="right" w:leader="dot" w:pos="8306"/>
            </w:tabs>
          </w:pPr>
          <w:r>
            <w:rPr>
              <w:rFonts w:ascii="方正楷体_GBK" w:hAnsi="方正楷体_GBK" w:eastAsia="方正楷体_GBK" w:cs="方正楷体_GBK"/>
              <w:szCs w:val="22"/>
            </w:rPr>
            <w:fldChar w:fldCharType="begin"/>
          </w:r>
          <w:r>
            <w:rPr>
              <w:rFonts w:ascii="方正楷体_GBK" w:hAnsi="方正楷体_GBK" w:eastAsia="方正楷体_GBK" w:cs="方正楷体_GBK"/>
              <w:szCs w:val="22"/>
            </w:rPr>
            <w:instrText xml:space="preserve"> HYPERLINK \l _Toc6548 </w:instrText>
          </w:r>
          <w:r>
            <w:rPr>
              <w:rFonts w:ascii="方正楷体_GBK" w:hAnsi="方正楷体_GBK" w:eastAsia="方正楷体_GBK" w:cs="方正楷体_GBK"/>
              <w:szCs w:val="22"/>
            </w:rPr>
            <w:fldChar w:fldCharType="separate"/>
          </w:r>
          <w:r>
            <w:rPr>
              <w:rFonts w:ascii="方正楷体_GBK" w:hAnsi="方正楷体_GBK" w:eastAsia="方正楷体_GBK" w:cs="方正楷体_GBK"/>
              <w:szCs w:val="22"/>
            </w:rPr>
            <w:t>第三章 合同书样式及主要条款</w:t>
          </w:r>
          <w:r>
            <w:tab/>
          </w:r>
          <w:r>
            <w:fldChar w:fldCharType="begin"/>
          </w:r>
          <w:r>
            <w:instrText xml:space="preserve"> PAGEREF _Toc6548 \h </w:instrText>
          </w:r>
          <w:r>
            <w:fldChar w:fldCharType="separate"/>
          </w:r>
          <w:r>
            <w:t>8</w:t>
          </w:r>
          <w:r>
            <w:fldChar w:fldCharType="end"/>
          </w:r>
          <w:r>
            <w:rPr>
              <w:rFonts w:ascii="方正楷体_GBK" w:hAnsi="方正楷体_GBK" w:eastAsia="方正楷体_GBK" w:cs="方正楷体_GBK"/>
              <w:szCs w:val="22"/>
            </w:rPr>
            <w:fldChar w:fldCharType="end"/>
          </w:r>
        </w:p>
        <w:p>
          <w:pPr>
            <w:pStyle w:val="7"/>
            <w:tabs>
              <w:tab w:val="right" w:leader="dot" w:pos="8306"/>
            </w:tabs>
          </w:pPr>
          <w:r>
            <w:rPr>
              <w:rFonts w:ascii="方正楷体_GBK" w:hAnsi="方正楷体_GBK" w:eastAsia="方正楷体_GBK" w:cs="方正楷体_GBK"/>
              <w:szCs w:val="22"/>
            </w:rPr>
            <w:fldChar w:fldCharType="begin"/>
          </w:r>
          <w:r>
            <w:rPr>
              <w:rFonts w:ascii="方正楷体_GBK" w:hAnsi="方正楷体_GBK" w:eastAsia="方正楷体_GBK" w:cs="方正楷体_GBK"/>
              <w:szCs w:val="22"/>
            </w:rPr>
            <w:instrText xml:space="preserve"> HYPERLINK \l _Toc6987 </w:instrText>
          </w:r>
          <w:r>
            <w:rPr>
              <w:rFonts w:ascii="方正楷体_GBK" w:hAnsi="方正楷体_GBK" w:eastAsia="方正楷体_GBK" w:cs="方正楷体_GBK"/>
              <w:szCs w:val="22"/>
            </w:rPr>
            <w:fldChar w:fldCharType="separate"/>
          </w:r>
          <w:r>
            <w:rPr>
              <w:rFonts w:ascii="方正楷体_GBK" w:hAnsi="方正楷体_GBK" w:eastAsia="方正楷体_GBK" w:cs="方正楷体_GBK"/>
              <w:szCs w:val="22"/>
            </w:rPr>
            <w:t xml:space="preserve">第四章  </w:t>
          </w:r>
          <w:r>
            <w:rPr>
              <w:rFonts w:hint="eastAsia" w:ascii="方正楷体_GBK" w:hAnsi="方正楷体_GBK" w:eastAsia="方正楷体_GBK" w:cs="方正楷体_GBK"/>
              <w:szCs w:val="22"/>
              <w:lang w:eastAsia="zh-CN"/>
            </w:rPr>
            <w:t>响应</w:t>
          </w:r>
          <w:r>
            <w:rPr>
              <w:rFonts w:ascii="方正楷体_GBK" w:hAnsi="方正楷体_GBK" w:eastAsia="方正楷体_GBK" w:cs="方正楷体_GBK"/>
              <w:szCs w:val="22"/>
            </w:rPr>
            <w:t>文件格式</w:t>
          </w:r>
          <w:r>
            <w:rPr>
              <w:rFonts w:hint="eastAsia" w:ascii="方正楷体_GBK" w:hAnsi="方正楷体_GBK" w:eastAsia="方正楷体_GBK" w:cs="方正楷体_GBK"/>
              <w:szCs w:val="22"/>
            </w:rPr>
            <w:t>（见第一章“采购公告”）</w:t>
          </w:r>
          <w:r>
            <w:tab/>
          </w:r>
          <w:r>
            <w:fldChar w:fldCharType="begin"/>
          </w:r>
          <w:r>
            <w:instrText xml:space="preserve"> PAGEREF _Toc6987 \h </w:instrText>
          </w:r>
          <w:r>
            <w:fldChar w:fldCharType="separate"/>
          </w:r>
          <w:r>
            <w:t>8</w:t>
          </w:r>
          <w:r>
            <w:fldChar w:fldCharType="end"/>
          </w:r>
          <w:r>
            <w:rPr>
              <w:rFonts w:ascii="方正楷体_GBK" w:hAnsi="方正楷体_GBK" w:eastAsia="方正楷体_GBK" w:cs="方正楷体_GBK"/>
              <w:szCs w:val="22"/>
            </w:rPr>
            <w:fldChar w:fldCharType="end"/>
          </w:r>
        </w:p>
        <w:p>
          <w:pPr>
            <w:pStyle w:val="7"/>
            <w:tabs>
              <w:tab w:val="right" w:leader="dot" w:pos="8306"/>
            </w:tabs>
          </w:pPr>
          <w:r>
            <w:rPr>
              <w:rFonts w:ascii="方正楷体_GBK" w:hAnsi="方正楷体_GBK" w:eastAsia="方正楷体_GBK" w:cs="方正楷体_GBK"/>
              <w:szCs w:val="22"/>
            </w:rPr>
            <w:fldChar w:fldCharType="begin"/>
          </w:r>
          <w:r>
            <w:rPr>
              <w:rFonts w:ascii="方正楷体_GBK" w:hAnsi="方正楷体_GBK" w:eastAsia="方正楷体_GBK" w:cs="方正楷体_GBK"/>
              <w:szCs w:val="22"/>
            </w:rPr>
            <w:instrText xml:space="preserve"> HYPERLINK \l _Toc26863 </w:instrText>
          </w:r>
          <w:r>
            <w:rPr>
              <w:rFonts w:ascii="方正楷体_GBK" w:hAnsi="方正楷体_GBK" w:eastAsia="方正楷体_GBK" w:cs="方正楷体_GBK"/>
              <w:szCs w:val="22"/>
            </w:rPr>
            <w:fldChar w:fldCharType="separate"/>
          </w:r>
          <w:r>
            <w:rPr>
              <w:rFonts w:ascii="方正楷体_GBK" w:hAnsi="方正楷体_GBK" w:eastAsia="方正楷体_GBK" w:cs="方正楷体_GBK"/>
              <w:szCs w:val="22"/>
            </w:rPr>
            <w:t>第五章  项目需求及技术要求</w:t>
          </w:r>
          <w:r>
            <w:rPr>
              <w:rFonts w:hint="eastAsia" w:ascii="方正楷体_GBK" w:hAnsi="方正楷体_GBK" w:eastAsia="方正楷体_GBK" w:cs="方正楷体_GBK"/>
              <w:szCs w:val="22"/>
            </w:rPr>
            <w:t>（见第一章“采购公告”）</w:t>
          </w:r>
          <w:r>
            <w:tab/>
          </w:r>
          <w:r>
            <w:fldChar w:fldCharType="begin"/>
          </w:r>
          <w:r>
            <w:instrText xml:space="preserve"> PAGEREF _Toc26863 \h </w:instrText>
          </w:r>
          <w:r>
            <w:fldChar w:fldCharType="separate"/>
          </w:r>
          <w:r>
            <w:t>8</w:t>
          </w:r>
          <w:r>
            <w:fldChar w:fldCharType="end"/>
          </w:r>
          <w:r>
            <w:rPr>
              <w:rFonts w:ascii="方正楷体_GBK" w:hAnsi="方正楷体_GBK" w:eastAsia="方正楷体_GBK" w:cs="方正楷体_GBK"/>
              <w:szCs w:val="22"/>
            </w:rPr>
            <w:fldChar w:fldCharType="end"/>
          </w:r>
        </w:p>
        <w:p>
          <w:pPr>
            <w:pStyle w:val="7"/>
            <w:tabs>
              <w:tab w:val="right" w:leader="dot" w:pos="8306"/>
            </w:tabs>
          </w:pPr>
          <w:r>
            <w:rPr>
              <w:rFonts w:ascii="方正楷体_GBK" w:hAnsi="方正楷体_GBK" w:eastAsia="方正楷体_GBK" w:cs="方正楷体_GBK"/>
              <w:szCs w:val="22"/>
            </w:rPr>
            <w:fldChar w:fldCharType="begin"/>
          </w:r>
          <w:r>
            <w:rPr>
              <w:rFonts w:ascii="方正楷体_GBK" w:hAnsi="方正楷体_GBK" w:eastAsia="方正楷体_GBK" w:cs="方正楷体_GBK"/>
              <w:szCs w:val="22"/>
            </w:rPr>
            <w:instrText xml:space="preserve"> HYPERLINK \l _Toc8798 </w:instrText>
          </w:r>
          <w:r>
            <w:rPr>
              <w:rFonts w:ascii="方正楷体_GBK" w:hAnsi="方正楷体_GBK" w:eastAsia="方正楷体_GBK" w:cs="方正楷体_GBK"/>
              <w:szCs w:val="22"/>
            </w:rPr>
            <w:fldChar w:fldCharType="separate"/>
          </w:r>
          <w:r>
            <w:rPr>
              <w:rFonts w:hint="eastAsia" w:ascii="方正楷体_GBK" w:hAnsi="方正楷体_GBK" w:eastAsia="方正楷体_GBK" w:cs="方正楷体_GBK"/>
              <w:szCs w:val="22"/>
            </w:rPr>
            <w:t>第六章  资格评审标准</w:t>
          </w:r>
          <w:r>
            <w:tab/>
          </w:r>
          <w:r>
            <w:fldChar w:fldCharType="begin"/>
          </w:r>
          <w:r>
            <w:instrText xml:space="preserve"> PAGEREF _Toc8798 \h </w:instrText>
          </w:r>
          <w:r>
            <w:fldChar w:fldCharType="separate"/>
          </w:r>
          <w:r>
            <w:t>9</w:t>
          </w:r>
          <w:r>
            <w:fldChar w:fldCharType="end"/>
          </w:r>
          <w:r>
            <w:rPr>
              <w:rFonts w:ascii="方正楷体_GBK" w:hAnsi="方正楷体_GBK" w:eastAsia="方正楷体_GBK" w:cs="方正楷体_GBK"/>
              <w:szCs w:val="22"/>
            </w:rPr>
            <w:fldChar w:fldCharType="end"/>
          </w:r>
        </w:p>
        <w:p>
          <w:pPr>
            <w:pStyle w:val="7"/>
            <w:tabs>
              <w:tab w:val="right" w:leader="dot" w:pos="8306"/>
            </w:tabs>
          </w:pPr>
          <w:r>
            <w:rPr>
              <w:rFonts w:ascii="方正楷体_GBK" w:hAnsi="方正楷体_GBK" w:eastAsia="方正楷体_GBK" w:cs="方正楷体_GBK"/>
              <w:szCs w:val="22"/>
            </w:rPr>
            <w:fldChar w:fldCharType="begin"/>
          </w:r>
          <w:r>
            <w:rPr>
              <w:rFonts w:ascii="方正楷体_GBK" w:hAnsi="方正楷体_GBK" w:eastAsia="方正楷体_GBK" w:cs="方正楷体_GBK"/>
              <w:szCs w:val="22"/>
            </w:rPr>
            <w:instrText xml:space="preserve"> HYPERLINK \l _Toc32495 </w:instrText>
          </w:r>
          <w:r>
            <w:rPr>
              <w:rFonts w:ascii="方正楷体_GBK" w:hAnsi="方正楷体_GBK" w:eastAsia="方正楷体_GBK" w:cs="方正楷体_GBK"/>
              <w:szCs w:val="22"/>
            </w:rPr>
            <w:fldChar w:fldCharType="separate"/>
          </w:r>
          <w:r>
            <w:rPr>
              <w:rFonts w:hint="eastAsia" w:ascii="方正楷体_GBK" w:hAnsi="方正楷体_GBK" w:eastAsia="方正楷体_GBK" w:cs="方正楷体_GBK"/>
              <w:szCs w:val="22"/>
            </w:rPr>
            <w:t xml:space="preserve">第七章  </w:t>
          </w:r>
          <w:r>
            <w:rPr>
              <w:rFonts w:hint="eastAsia" w:ascii="方正楷体_GBK" w:hAnsi="方正楷体_GBK" w:eastAsia="方正楷体_GBK" w:cs="方正楷体_GBK"/>
              <w:szCs w:val="22"/>
              <w:lang w:eastAsia="zh-CN"/>
            </w:rPr>
            <w:t>评审</w:t>
          </w:r>
          <w:r>
            <w:rPr>
              <w:rFonts w:ascii="方正楷体_GBK" w:hAnsi="方正楷体_GBK" w:eastAsia="方正楷体_GBK" w:cs="方正楷体_GBK"/>
              <w:szCs w:val="22"/>
            </w:rPr>
            <w:t>方法（综合评分法）</w:t>
          </w:r>
          <w:r>
            <w:tab/>
          </w:r>
          <w:r>
            <w:fldChar w:fldCharType="begin"/>
          </w:r>
          <w:r>
            <w:instrText xml:space="preserve"> PAGEREF _Toc32495 \h </w:instrText>
          </w:r>
          <w:r>
            <w:fldChar w:fldCharType="separate"/>
          </w:r>
          <w:r>
            <w:t>11</w:t>
          </w:r>
          <w:r>
            <w:fldChar w:fldCharType="end"/>
          </w:r>
          <w:r>
            <w:rPr>
              <w:rFonts w:ascii="方正楷体_GBK" w:hAnsi="方正楷体_GBK" w:eastAsia="方正楷体_GBK" w:cs="方正楷体_GBK"/>
              <w:szCs w:val="22"/>
            </w:rPr>
            <w:fldChar w:fldCharType="end"/>
          </w:r>
        </w:p>
        <w:p>
          <w:pPr>
            <w:pStyle w:val="7"/>
            <w:tabs>
              <w:tab w:val="right" w:leader="dot" w:pos="8306"/>
            </w:tabs>
            <w:ind w:firstLine="420" w:firstLineChars="200"/>
          </w:pPr>
          <w:r>
            <w:rPr>
              <w:rFonts w:ascii="方正楷体_GBK" w:hAnsi="方正楷体_GBK" w:eastAsia="方正楷体_GBK" w:cs="方正楷体_GBK"/>
              <w:szCs w:val="22"/>
            </w:rPr>
            <w:fldChar w:fldCharType="begin"/>
          </w:r>
          <w:r>
            <w:rPr>
              <w:rFonts w:ascii="方正楷体_GBK" w:hAnsi="方正楷体_GBK" w:eastAsia="方正楷体_GBK" w:cs="方正楷体_GBK"/>
              <w:szCs w:val="22"/>
            </w:rPr>
            <w:instrText xml:space="preserve"> HYPERLINK \l _Toc16081 </w:instrText>
          </w:r>
          <w:r>
            <w:rPr>
              <w:rFonts w:ascii="方正楷体_GBK" w:hAnsi="方正楷体_GBK" w:eastAsia="方正楷体_GBK" w:cs="方正楷体_GBK"/>
              <w:szCs w:val="22"/>
            </w:rPr>
            <w:fldChar w:fldCharType="separate"/>
          </w:r>
          <w:r>
            <w:rPr>
              <w:rFonts w:hint="eastAsia" w:ascii="华文楷体" w:hAnsi="华文楷体" w:eastAsia="华文楷体" w:cs="华文楷体"/>
            </w:rPr>
            <w:t>一、</w:t>
          </w:r>
          <w:r>
            <w:rPr>
              <w:rFonts w:hint="eastAsia" w:ascii="华文楷体" w:hAnsi="华文楷体" w:eastAsia="华文楷体" w:cs="华文楷体"/>
              <w:lang w:eastAsia="zh-CN"/>
            </w:rPr>
            <w:t>评审</w:t>
          </w:r>
          <w:r>
            <w:rPr>
              <w:rFonts w:hint="eastAsia" w:ascii="华文楷体" w:hAnsi="华文楷体" w:eastAsia="华文楷体" w:cs="华文楷体"/>
            </w:rPr>
            <w:t>方法</w:t>
          </w:r>
          <w:r>
            <w:tab/>
          </w:r>
          <w:r>
            <w:fldChar w:fldCharType="begin"/>
          </w:r>
          <w:r>
            <w:instrText xml:space="preserve"> PAGEREF _Toc16081 \h </w:instrText>
          </w:r>
          <w:r>
            <w:fldChar w:fldCharType="separate"/>
          </w:r>
          <w:r>
            <w:t>13</w:t>
          </w:r>
          <w:r>
            <w:fldChar w:fldCharType="end"/>
          </w:r>
          <w:r>
            <w:rPr>
              <w:rFonts w:ascii="方正楷体_GBK" w:hAnsi="方正楷体_GBK" w:eastAsia="方正楷体_GBK" w:cs="方正楷体_GBK"/>
              <w:szCs w:val="22"/>
            </w:rPr>
            <w:fldChar w:fldCharType="end"/>
          </w:r>
        </w:p>
        <w:p>
          <w:pPr>
            <w:pStyle w:val="7"/>
            <w:tabs>
              <w:tab w:val="right" w:leader="dot" w:pos="8306"/>
            </w:tabs>
            <w:ind w:firstLine="420" w:firstLineChars="200"/>
          </w:pPr>
          <w:r>
            <w:rPr>
              <w:rFonts w:ascii="方正楷体_GBK" w:hAnsi="方正楷体_GBK" w:eastAsia="方正楷体_GBK" w:cs="方正楷体_GBK"/>
              <w:szCs w:val="22"/>
            </w:rPr>
            <w:fldChar w:fldCharType="begin"/>
          </w:r>
          <w:r>
            <w:rPr>
              <w:rFonts w:ascii="方正楷体_GBK" w:hAnsi="方正楷体_GBK" w:eastAsia="方正楷体_GBK" w:cs="方正楷体_GBK"/>
              <w:szCs w:val="22"/>
            </w:rPr>
            <w:instrText xml:space="preserve"> HYPERLINK \l _Toc28122 </w:instrText>
          </w:r>
          <w:r>
            <w:rPr>
              <w:rFonts w:ascii="方正楷体_GBK" w:hAnsi="方正楷体_GBK" w:eastAsia="方正楷体_GBK" w:cs="方正楷体_GBK"/>
              <w:szCs w:val="22"/>
            </w:rPr>
            <w:fldChar w:fldCharType="separate"/>
          </w:r>
          <w:r>
            <w:rPr>
              <w:rFonts w:hint="eastAsia" w:ascii="华文楷体" w:hAnsi="华文楷体" w:eastAsia="华文楷体" w:cs="华文楷体"/>
            </w:rPr>
            <w:t>二、</w:t>
          </w:r>
          <w:r>
            <w:rPr>
              <w:rFonts w:hint="eastAsia" w:ascii="华文楷体" w:hAnsi="华文楷体" w:eastAsia="华文楷体" w:cs="华文楷体"/>
              <w:lang w:eastAsia="zh-CN"/>
            </w:rPr>
            <w:t>评审</w:t>
          </w:r>
          <w:r>
            <w:rPr>
              <w:rFonts w:ascii="华文楷体" w:hAnsi="华文楷体" w:eastAsia="华文楷体" w:cs="华文楷体"/>
            </w:rPr>
            <w:t>程序及标准</w:t>
          </w:r>
          <w:r>
            <w:tab/>
          </w:r>
          <w:r>
            <w:fldChar w:fldCharType="begin"/>
          </w:r>
          <w:r>
            <w:instrText xml:space="preserve"> PAGEREF _Toc28122 \h </w:instrText>
          </w:r>
          <w:r>
            <w:fldChar w:fldCharType="separate"/>
          </w:r>
          <w:r>
            <w:t>13</w:t>
          </w:r>
          <w:r>
            <w:fldChar w:fldCharType="end"/>
          </w:r>
          <w:r>
            <w:rPr>
              <w:rFonts w:ascii="方正楷体_GBK" w:hAnsi="方正楷体_GBK" w:eastAsia="方正楷体_GBK" w:cs="方正楷体_GBK"/>
              <w:szCs w:val="22"/>
            </w:rPr>
            <w:fldChar w:fldCharType="end"/>
          </w:r>
        </w:p>
        <w:p>
          <w:pPr>
            <w:pStyle w:val="7"/>
            <w:tabs>
              <w:tab w:val="right" w:leader="dot" w:pos="8306"/>
            </w:tabs>
            <w:ind w:firstLine="420" w:firstLineChars="200"/>
          </w:pPr>
          <w:r>
            <w:rPr>
              <w:rFonts w:ascii="方正楷体_GBK" w:hAnsi="方正楷体_GBK" w:eastAsia="方正楷体_GBK" w:cs="方正楷体_GBK"/>
              <w:szCs w:val="22"/>
            </w:rPr>
            <w:fldChar w:fldCharType="begin"/>
          </w:r>
          <w:r>
            <w:rPr>
              <w:rFonts w:ascii="方正楷体_GBK" w:hAnsi="方正楷体_GBK" w:eastAsia="方正楷体_GBK" w:cs="方正楷体_GBK"/>
              <w:szCs w:val="22"/>
            </w:rPr>
            <w:instrText xml:space="preserve"> HYPERLINK \l _Toc1631 </w:instrText>
          </w:r>
          <w:r>
            <w:rPr>
              <w:rFonts w:ascii="方正楷体_GBK" w:hAnsi="方正楷体_GBK" w:eastAsia="方正楷体_GBK" w:cs="方正楷体_GBK"/>
              <w:szCs w:val="22"/>
            </w:rPr>
            <w:fldChar w:fldCharType="separate"/>
          </w:r>
          <w:r>
            <w:rPr>
              <w:rFonts w:hint="eastAsia" w:ascii="华文楷体" w:hAnsi="华文楷体" w:eastAsia="华文楷体" w:cs="华文楷体"/>
            </w:rPr>
            <w:t>三、</w:t>
          </w:r>
          <w:r>
            <w:rPr>
              <w:rFonts w:hint="eastAsia" w:ascii="华文楷体" w:hAnsi="华文楷体" w:eastAsia="华文楷体" w:cs="华文楷体"/>
              <w:lang w:eastAsia="zh-CN"/>
            </w:rPr>
            <w:t>响应</w:t>
          </w:r>
          <w:r>
            <w:rPr>
              <w:rFonts w:ascii="华文楷体" w:hAnsi="华文楷体" w:eastAsia="华文楷体" w:cs="华文楷体"/>
            </w:rPr>
            <w:t>文件的澄清</w:t>
          </w:r>
          <w:r>
            <w:tab/>
          </w:r>
          <w:r>
            <w:fldChar w:fldCharType="begin"/>
          </w:r>
          <w:r>
            <w:instrText xml:space="preserve"> PAGEREF _Toc1631 \h </w:instrText>
          </w:r>
          <w:r>
            <w:fldChar w:fldCharType="separate"/>
          </w:r>
          <w:r>
            <w:t>14</w:t>
          </w:r>
          <w:r>
            <w:fldChar w:fldCharType="end"/>
          </w:r>
          <w:r>
            <w:rPr>
              <w:rFonts w:ascii="方正楷体_GBK" w:hAnsi="方正楷体_GBK" w:eastAsia="方正楷体_GBK" w:cs="方正楷体_GBK"/>
              <w:szCs w:val="22"/>
            </w:rPr>
            <w:fldChar w:fldCharType="end"/>
          </w:r>
        </w:p>
        <w:p>
          <w:pPr>
            <w:pStyle w:val="7"/>
            <w:tabs>
              <w:tab w:val="right" w:leader="dot" w:pos="8306"/>
            </w:tabs>
            <w:ind w:firstLine="420" w:firstLineChars="200"/>
          </w:pPr>
          <w:r>
            <w:rPr>
              <w:rFonts w:ascii="方正楷体_GBK" w:hAnsi="方正楷体_GBK" w:eastAsia="方正楷体_GBK" w:cs="方正楷体_GBK"/>
              <w:szCs w:val="22"/>
            </w:rPr>
            <w:fldChar w:fldCharType="begin"/>
          </w:r>
          <w:r>
            <w:rPr>
              <w:rFonts w:ascii="方正楷体_GBK" w:hAnsi="方正楷体_GBK" w:eastAsia="方正楷体_GBK" w:cs="方正楷体_GBK"/>
              <w:szCs w:val="22"/>
            </w:rPr>
            <w:instrText xml:space="preserve"> HYPERLINK \l _Toc14055 </w:instrText>
          </w:r>
          <w:r>
            <w:rPr>
              <w:rFonts w:ascii="方正楷体_GBK" w:hAnsi="方正楷体_GBK" w:eastAsia="方正楷体_GBK" w:cs="方正楷体_GBK"/>
              <w:szCs w:val="22"/>
            </w:rPr>
            <w:fldChar w:fldCharType="separate"/>
          </w:r>
          <w:r>
            <w:rPr>
              <w:rFonts w:hint="eastAsia" w:ascii="华文楷体" w:hAnsi="华文楷体" w:eastAsia="华文楷体" w:cs="华文楷体"/>
            </w:rPr>
            <w:t>四、</w:t>
          </w:r>
          <w:r>
            <w:rPr>
              <w:rFonts w:hint="eastAsia" w:ascii="华文楷体" w:hAnsi="华文楷体" w:eastAsia="华文楷体" w:cs="华文楷体"/>
              <w:lang w:eastAsia="zh-CN"/>
            </w:rPr>
            <w:t>评审</w:t>
          </w:r>
          <w:r>
            <w:rPr>
              <w:rFonts w:ascii="华文楷体" w:hAnsi="华文楷体" w:eastAsia="华文楷体" w:cs="华文楷体"/>
            </w:rPr>
            <w:t>结果</w:t>
          </w:r>
          <w:r>
            <w:tab/>
          </w:r>
          <w:r>
            <w:fldChar w:fldCharType="begin"/>
          </w:r>
          <w:r>
            <w:instrText xml:space="preserve"> PAGEREF _Toc14055 \h </w:instrText>
          </w:r>
          <w:r>
            <w:fldChar w:fldCharType="separate"/>
          </w:r>
          <w:r>
            <w:t>15</w:t>
          </w:r>
          <w:r>
            <w:fldChar w:fldCharType="end"/>
          </w:r>
          <w:r>
            <w:rPr>
              <w:rFonts w:ascii="方正楷体_GBK" w:hAnsi="方正楷体_GBK" w:eastAsia="方正楷体_GBK" w:cs="方正楷体_GBK"/>
              <w:szCs w:val="22"/>
            </w:rPr>
            <w:fldChar w:fldCharType="end"/>
          </w:r>
        </w:p>
        <w:p>
          <w:pPr>
            <w:pStyle w:val="2"/>
            <w:outlineLvl w:val="9"/>
            <w:rPr>
              <w:rFonts w:ascii="方正楷体_GBK" w:hAnsi="方正楷体_GBK" w:eastAsia="方正楷体_GBK" w:cs="方正楷体_GBK"/>
              <w:sz w:val="28"/>
              <w:szCs w:val="22"/>
            </w:rPr>
            <w:sectPr>
              <w:pgSz w:w="11906" w:h="16838"/>
              <w:pgMar w:top="1440" w:right="1800" w:bottom="1440" w:left="1800" w:header="851" w:footer="992" w:gutter="0"/>
              <w:cols w:space="425" w:num="1"/>
              <w:docGrid w:type="lines" w:linePitch="312" w:charSpace="0"/>
            </w:sectPr>
          </w:pPr>
          <w:r>
            <w:rPr>
              <w:rFonts w:ascii="方正楷体_GBK" w:hAnsi="方正楷体_GBK" w:eastAsia="方正楷体_GBK" w:cs="方正楷体_GBK"/>
              <w:szCs w:val="22"/>
            </w:rPr>
            <w:fldChar w:fldCharType="end"/>
          </w:r>
        </w:p>
      </w:sdtContent>
    </w:sdt>
    <w:p>
      <w:pPr>
        <w:pStyle w:val="2"/>
        <w:outlineLvl w:val="0"/>
        <w:rPr>
          <w:rFonts w:ascii="方正楷体_GBK" w:hAnsi="方正楷体_GBK" w:eastAsia="方正楷体_GBK" w:cs="方正楷体_GBK"/>
          <w:sz w:val="28"/>
          <w:szCs w:val="22"/>
        </w:rPr>
      </w:pPr>
      <w:bookmarkStart w:id="0" w:name="_Toc5265"/>
      <w:bookmarkStart w:id="1" w:name="_Toc3076"/>
      <w:r>
        <w:rPr>
          <w:rFonts w:hint="eastAsia" w:ascii="方正楷体_GBK" w:hAnsi="方正楷体_GBK" w:eastAsia="方正楷体_GBK" w:cs="方正楷体_GBK"/>
          <w:sz w:val="28"/>
          <w:szCs w:val="22"/>
        </w:rPr>
        <w:t xml:space="preserve">第一章 </w:t>
      </w:r>
      <w:r>
        <w:rPr>
          <w:rFonts w:hint="eastAsia" w:ascii="方正楷体_GBK" w:hAnsi="方正楷体_GBK" w:eastAsia="方正楷体_GBK" w:cs="方正楷体_GBK"/>
          <w:sz w:val="28"/>
          <w:szCs w:val="22"/>
          <w:lang w:val="en-US" w:eastAsia="zh-CN"/>
        </w:rPr>
        <w:t>采购</w:t>
      </w:r>
      <w:r>
        <w:rPr>
          <w:rFonts w:hint="eastAsia" w:ascii="方正楷体_GBK" w:hAnsi="方正楷体_GBK" w:eastAsia="方正楷体_GBK" w:cs="方正楷体_GBK"/>
          <w:sz w:val="28"/>
          <w:szCs w:val="22"/>
        </w:rPr>
        <w:t>公告</w:t>
      </w:r>
      <w:bookmarkEnd w:id="0"/>
      <w:bookmarkEnd w:id="1"/>
    </w:p>
    <w:p>
      <w:pPr>
        <w:spacing w:line="360" w:lineRule="auto"/>
        <w:rPr>
          <w:rFonts w:hint="eastAsia" w:ascii="华文楷体" w:hAnsi="华文楷体" w:eastAsia="华文楷体" w:cs="华文楷体"/>
          <w:sz w:val="24"/>
          <w:lang w:val="en-US" w:eastAsia="zh-CN"/>
        </w:rPr>
      </w:pPr>
      <w:bookmarkStart w:id="2" w:name="_Toc14002"/>
      <w:r>
        <w:rPr>
          <w:rFonts w:hint="eastAsia" w:ascii="华文楷体" w:hAnsi="华文楷体" w:eastAsia="华文楷体" w:cs="华文楷体"/>
          <w:sz w:val="24"/>
          <w:lang w:val="en-US" w:eastAsia="zh-CN"/>
        </w:rPr>
        <w:t>见昆明医科大学第二附属医院官方网站</w:t>
      </w:r>
      <w:bookmarkEnd w:id="2"/>
    </w:p>
    <w:p>
      <w:pPr>
        <w:spacing w:line="360" w:lineRule="auto"/>
        <w:rPr>
          <w:rFonts w:hint="eastAsia" w:ascii="华文楷体" w:hAnsi="华文楷体" w:eastAsia="华文楷体" w:cs="华文楷体"/>
          <w:sz w:val="24"/>
          <w:lang w:val="en-US" w:eastAsia="zh-CN"/>
        </w:rPr>
      </w:pPr>
      <w:bookmarkStart w:id="3" w:name="_Toc6175"/>
      <w:r>
        <w:rPr>
          <w:rFonts w:hint="eastAsia" w:ascii="华文楷体" w:hAnsi="华文楷体" w:eastAsia="华文楷体" w:cs="华文楷体"/>
          <w:sz w:val="24"/>
          <w:lang w:val="en-US" w:eastAsia="zh-CN"/>
        </w:rPr>
        <w:fldChar w:fldCharType="begin"/>
      </w:r>
      <w:r>
        <w:rPr>
          <w:rFonts w:hint="eastAsia" w:ascii="华文楷体" w:hAnsi="华文楷体" w:eastAsia="华文楷体" w:cs="华文楷体"/>
          <w:sz w:val="24"/>
          <w:lang w:val="en-US" w:eastAsia="zh-CN"/>
        </w:rPr>
        <w:instrText xml:space="preserve"> HYPERLINK "http://www.kyfey.com/;" </w:instrText>
      </w:r>
      <w:r>
        <w:rPr>
          <w:rFonts w:hint="eastAsia" w:ascii="华文楷体" w:hAnsi="华文楷体" w:eastAsia="华文楷体" w:cs="华文楷体"/>
          <w:sz w:val="24"/>
          <w:lang w:val="en-US" w:eastAsia="zh-CN"/>
        </w:rPr>
        <w:fldChar w:fldCharType="separate"/>
      </w:r>
      <w:r>
        <w:rPr>
          <w:rFonts w:hint="eastAsia" w:ascii="华文楷体" w:hAnsi="华文楷体" w:eastAsia="华文楷体" w:cs="华文楷体"/>
          <w:sz w:val="24"/>
          <w:lang w:val="en-US" w:eastAsia="zh-CN"/>
        </w:rPr>
        <w:t>http://www.kyfey.com/;</w:t>
      </w:r>
      <w:r>
        <w:rPr>
          <w:rFonts w:hint="eastAsia" w:ascii="华文楷体" w:hAnsi="华文楷体" w:eastAsia="华文楷体" w:cs="华文楷体"/>
          <w:sz w:val="24"/>
          <w:lang w:val="en-US" w:eastAsia="zh-CN"/>
        </w:rPr>
        <w:fldChar w:fldCharType="end"/>
      </w:r>
      <w:bookmarkEnd w:id="3"/>
    </w:p>
    <w:p>
      <w:pPr>
        <w:spacing w:line="360" w:lineRule="auto"/>
        <w:rPr>
          <w:rFonts w:hint="default" w:ascii="华文楷体" w:hAnsi="华文楷体" w:eastAsia="华文楷体" w:cs="华文楷体"/>
          <w:sz w:val="24"/>
          <w:lang w:val="en-US" w:eastAsia="zh-CN"/>
        </w:rPr>
      </w:pPr>
    </w:p>
    <w:p>
      <w:pPr>
        <w:spacing w:line="360" w:lineRule="auto"/>
        <w:rPr>
          <w:rFonts w:hint="default" w:ascii="华文楷体" w:hAnsi="华文楷体" w:eastAsia="华文楷体" w:cs="华文楷体"/>
          <w:sz w:val="24"/>
          <w:lang w:val="en-US" w:eastAsia="zh-CN"/>
        </w:rPr>
      </w:pPr>
    </w:p>
    <w:p>
      <w:pPr>
        <w:rPr>
          <w:rFonts w:hint="eastAsia" w:ascii="华文楷体" w:hAnsi="华文楷体" w:eastAsia="华文楷体" w:cs="华文楷体"/>
          <w:sz w:val="24"/>
          <w:lang w:val="en-US" w:eastAsia="zh-CN"/>
        </w:rPr>
      </w:pPr>
    </w:p>
    <w:p>
      <w:pPr>
        <w:rPr>
          <w:rFonts w:ascii="华文楷体" w:hAnsi="华文楷体" w:eastAsia="华文楷体" w:cs="华文楷体"/>
          <w:sz w:val="24"/>
        </w:rPr>
        <w:sectPr>
          <w:pgSz w:w="11906" w:h="16838"/>
          <w:pgMar w:top="1440" w:right="1800" w:bottom="1440" w:left="1800" w:header="851" w:footer="992" w:gutter="0"/>
          <w:cols w:space="425" w:num="1"/>
          <w:docGrid w:type="lines" w:linePitch="312" w:charSpace="0"/>
        </w:sectPr>
      </w:pPr>
    </w:p>
    <w:p>
      <w:pPr>
        <w:pStyle w:val="2"/>
        <w:outlineLvl w:val="0"/>
        <w:rPr>
          <w:rFonts w:ascii="方正楷体_GBK" w:hAnsi="方正楷体_GBK" w:eastAsia="方正楷体_GBK" w:cs="方正楷体_GBK"/>
          <w:sz w:val="28"/>
          <w:szCs w:val="22"/>
        </w:rPr>
      </w:pPr>
      <w:bookmarkStart w:id="4" w:name="_Toc25376"/>
      <w:bookmarkStart w:id="5" w:name="_Toc4010"/>
      <w:r>
        <w:rPr>
          <w:rFonts w:hint="eastAsia" w:ascii="方正楷体_GBK" w:hAnsi="方正楷体_GBK" w:eastAsia="方正楷体_GBK" w:cs="方正楷体_GBK"/>
          <w:sz w:val="28"/>
          <w:szCs w:val="22"/>
        </w:rPr>
        <w:t xml:space="preserve">第二章 </w:t>
      </w:r>
      <w:r>
        <w:rPr>
          <w:rFonts w:hint="eastAsia" w:ascii="方正楷体_GBK" w:hAnsi="方正楷体_GBK" w:eastAsia="方正楷体_GBK" w:cs="方正楷体_GBK"/>
          <w:sz w:val="28"/>
          <w:szCs w:val="22"/>
          <w:lang w:val="en-US" w:eastAsia="zh-CN"/>
        </w:rPr>
        <w:t>响应</w:t>
      </w:r>
      <w:r>
        <w:rPr>
          <w:rFonts w:hint="eastAsia" w:ascii="方正楷体_GBK" w:hAnsi="方正楷体_GBK" w:eastAsia="方正楷体_GBK" w:cs="方正楷体_GBK"/>
          <w:sz w:val="28"/>
          <w:szCs w:val="22"/>
        </w:rPr>
        <w:t>人须知</w:t>
      </w:r>
      <w:bookmarkEnd w:id="4"/>
      <w:bookmarkEnd w:id="5"/>
    </w:p>
    <w:tbl>
      <w:tblPr>
        <w:tblStyle w:val="8"/>
        <w:tblW w:w="98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1"/>
        <w:gridCol w:w="6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3021" w:type="dxa"/>
            <w:vAlign w:val="center"/>
          </w:tcPr>
          <w:p>
            <w:pPr>
              <w:pStyle w:val="6"/>
              <w:spacing w:line="300" w:lineRule="exact"/>
              <w:jc w:val="center"/>
              <w:rPr>
                <w:rFonts w:ascii="华文楷体" w:hAnsi="华文楷体" w:eastAsia="华文楷体" w:cs="华文楷体"/>
                <w:b/>
                <w:sz w:val="20"/>
              </w:rPr>
            </w:pPr>
            <w:r>
              <w:rPr>
                <w:rFonts w:hint="eastAsia" w:ascii="华文楷体" w:hAnsi="华文楷体" w:eastAsia="华文楷体" w:cs="华文楷体"/>
                <w:b/>
                <w:sz w:val="20"/>
              </w:rPr>
              <w:t>条 款 名 称</w:t>
            </w:r>
          </w:p>
        </w:tc>
        <w:tc>
          <w:tcPr>
            <w:tcW w:w="6787" w:type="dxa"/>
            <w:vAlign w:val="center"/>
          </w:tcPr>
          <w:p>
            <w:pPr>
              <w:pStyle w:val="6"/>
              <w:spacing w:line="300" w:lineRule="exact"/>
              <w:jc w:val="center"/>
              <w:rPr>
                <w:rFonts w:ascii="华文楷体" w:hAnsi="华文楷体" w:eastAsia="华文楷体" w:cs="华文楷体"/>
                <w:b/>
                <w:sz w:val="20"/>
              </w:rPr>
            </w:pPr>
            <w:r>
              <w:rPr>
                <w:rFonts w:hint="eastAsia" w:ascii="华文楷体" w:hAnsi="华文楷体" w:eastAsia="华文楷体" w:cs="华文楷体"/>
                <w:b/>
                <w:sz w:val="20"/>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3021" w:type="dxa"/>
            <w:vAlign w:val="center"/>
          </w:tcPr>
          <w:p>
            <w:pPr>
              <w:pStyle w:val="6"/>
              <w:spacing w:line="300" w:lineRule="exact"/>
              <w:rPr>
                <w:rFonts w:ascii="华文楷体" w:hAnsi="华文楷体" w:eastAsia="华文楷体" w:cs="华文楷体"/>
                <w:sz w:val="20"/>
                <w:u w:val="single"/>
              </w:rPr>
            </w:pPr>
            <w:r>
              <w:rPr>
                <w:rFonts w:hint="eastAsia" w:ascii="华文楷体" w:hAnsi="华文楷体" w:eastAsia="华文楷体" w:cs="华文楷体"/>
                <w:bCs/>
                <w:sz w:val="20"/>
              </w:rPr>
              <w:t>采购人</w:t>
            </w:r>
            <w:r>
              <w:rPr>
                <w:rFonts w:hint="eastAsia" w:ascii="华文楷体" w:hAnsi="华文楷体" w:eastAsia="华文楷体" w:cs="华文楷体"/>
                <w:kern w:val="48"/>
                <w:sz w:val="20"/>
              </w:rPr>
              <w:t xml:space="preserve"> </w:t>
            </w:r>
          </w:p>
        </w:tc>
        <w:tc>
          <w:tcPr>
            <w:tcW w:w="6787" w:type="dxa"/>
            <w:vAlign w:val="center"/>
          </w:tcPr>
          <w:p>
            <w:pPr>
              <w:pStyle w:val="6"/>
              <w:spacing w:line="300" w:lineRule="exact"/>
              <w:rPr>
                <w:rFonts w:hint="default" w:ascii="华文楷体" w:hAnsi="华文楷体" w:eastAsia="华文楷体" w:cs="华文楷体"/>
                <w:sz w:val="20"/>
                <w:u w:val="single"/>
                <w:lang w:val="en-US" w:eastAsia="zh-CN"/>
              </w:rPr>
            </w:pPr>
            <w:r>
              <w:rPr>
                <w:rFonts w:hint="eastAsia" w:ascii="华文楷体" w:hAnsi="华文楷体" w:eastAsia="华文楷体" w:cs="华文楷体"/>
                <w:sz w:val="20"/>
              </w:rPr>
              <w:t>昆明医科大学</w:t>
            </w:r>
            <w:r>
              <w:rPr>
                <w:rFonts w:hint="eastAsia" w:ascii="华文楷体" w:hAnsi="华文楷体" w:eastAsia="华文楷体" w:cs="华文楷体"/>
                <w:sz w:val="20"/>
                <w:lang w:val="en-US" w:eastAsia="zh-CN"/>
              </w:rPr>
              <w:t>第二附属医院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3021" w:type="dxa"/>
            <w:vAlign w:val="center"/>
          </w:tcPr>
          <w:p>
            <w:pPr>
              <w:pStyle w:val="6"/>
              <w:spacing w:line="300" w:lineRule="exact"/>
              <w:rPr>
                <w:rFonts w:ascii="华文楷体" w:hAnsi="华文楷体" w:eastAsia="华文楷体" w:cs="华文楷体"/>
                <w:sz w:val="20"/>
              </w:rPr>
            </w:pPr>
            <w:r>
              <w:rPr>
                <w:rFonts w:hint="eastAsia" w:ascii="华文楷体" w:hAnsi="华文楷体" w:eastAsia="华文楷体" w:cs="华文楷体"/>
                <w:sz w:val="20"/>
              </w:rPr>
              <w:t>交货</w:t>
            </w:r>
          </w:p>
        </w:tc>
        <w:tc>
          <w:tcPr>
            <w:tcW w:w="6787" w:type="dxa"/>
            <w:vAlign w:val="center"/>
          </w:tcPr>
          <w:p>
            <w:pPr>
              <w:pStyle w:val="6"/>
              <w:spacing w:line="300" w:lineRule="exact"/>
              <w:rPr>
                <w:rFonts w:ascii="华文楷体" w:hAnsi="华文楷体" w:eastAsia="华文楷体" w:cs="华文楷体"/>
                <w:sz w:val="20"/>
              </w:rPr>
            </w:pPr>
            <w:r>
              <w:rPr>
                <w:rFonts w:hint="eastAsia" w:ascii="华文楷体" w:hAnsi="华文楷体" w:eastAsia="华文楷体" w:cs="华文楷体"/>
                <w:sz w:val="20"/>
              </w:rPr>
              <w:t>交货期：</w:t>
            </w:r>
            <w:r>
              <w:rPr>
                <w:rFonts w:hint="eastAsia" w:ascii="华文楷体" w:hAnsi="华文楷体" w:eastAsia="华文楷体" w:cs="华文楷体"/>
                <w:sz w:val="20"/>
                <w:lang w:val="en-US" w:eastAsia="zh-CN"/>
              </w:rPr>
              <w:t>以供货协议中约定的时间为准</w:t>
            </w:r>
            <w:r>
              <w:rPr>
                <w:rFonts w:hint="eastAsia" w:ascii="华文楷体" w:hAnsi="华文楷体" w:eastAsia="华文楷体" w:cs="华文楷体"/>
                <w:sz w:val="20"/>
              </w:rPr>
              <w:t>。</w:t>
            </w:r>
          </w:p>
          <w:p>
            <w:pPr>
              <w:pStyle w:val="6"/>
              <w:spacing w:line="300" w:lineRule="exact"/>
              <w:rPr>
                <w:rFonts w:ascii="华文楷体" w:hAnsi="华文楷体" w:eastAsia="华文楷体" w:cs="华文楷体"/>
                <w:sz w:val="20"/>
              </w:rPr>
            </w:pPr>
            <w:r>
              <w:rPr>
                <w:rFonts w:hint="eastAsia" w:ascii="华文楷体" w:hAnsi="华文楷体" w:eastAsia="华文楷体" w:cs="华文楷体"/>
                <w:sz w:val="20"/>
              </w:rPr>
              <w:t>交货地点：</w:t>
            </w:r>
            <w:r>
              <w:rPr>
                <w:rFonts w:hint="eastAsia" w:ascii="华文楷体" w:hAnsi="华文楷体" w:eastAsia="华文楷体" w:cs="华文楷体"/>
                <w:sz w:val="20"/>
                <w:u w:val="single"/>
              </w:rPr>
              <w:t>昆明医科大学</w:t>
            </w:r>
            <w:r>
              <w:rPr>
                <w:rFonts w:hint="eastAsia" w:ascii="华文楷体" w:hAnsi="华文楷体" w:eastAsia="华文楷体" w:cs="华文楷体"/>
                <w:sz w:val="20"/>
                <w:u w:val="single"/>
                <w:lang w:val="en-US" w:eastAsia="zh-CN"/>
              </w:rPr>
              <w:t>第二附属医院指</w:t>
            </w:r>
            <w:r>
              <w:rPr>
                <w:rFonts w:hint="eastAsia" w:ascii="华文楷体" w:hAnsi="华文楷体" w:eastAsia="华文楷体" w:cs="华文楷体"/>
                <w:sz w:val="20"/>
                <w:u w:val="single"/>
              </w:rPr>
              <w:t>定地点</w:t>
            </w:r>
            <w:r>
              <w:rPr>
                <w:rFonts w:hint="eastAsia" w:ascii="华文楷体" w:hAnsi="华文楷体" w:eastAsia="华文楷体" w:cs="华文楷体"/>
                <w:sz w:val="20"/>
              </w:rPr>
              <w:t>。</w:t>
            </w:r>
          </w:p>
          <w:p>
            <w:pPr>
              <w:pStyle w:val="6"/>
              <w:spacing w:line="300" w:lineRule="exact"/>
              <w:rPr>
                <w:rFonts w:ascii="华文楷体" w:hAnsi="华文楷体" w:eastAsia="华文楷体" w:cs="华文楷体"/>
                <w:sz w:val="20"/>
              </w:rPr>
            </w:pPr>
            <w:r>
              <w:rPr>
                <w:rFonts w:hint="eastAsia" w:ascii="华文楷体" w:hAnsi="华文楷体" w:eastAsia="华文楷体" w:cs="华文楷体"/>
                <w:sz w:val="20"/>
              </w:rPr>
              <w:t>交货方式：验收完成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3021" w:type="dxa"/>
            <w:vAlign w:val="center"/>
          </w:tcPr>
          <w:p>
            <w:pPr>
              <w:autoSpaceDE w:val="0"/>
              <w:autoSpaceDN w:val="0"/>
              <w:snapToGrid w:val="0"/>
              <w:spacing w:line="300" w:lineRule="exact"/>
              <w:textAlignment w:val="bottom"/>
              <w:rPr>
                <w:rFonts w:ascii="华文楷体" w:hAnsi="华文楷体" w:eastAsia="华文楷体" w:cs="华文楷体"/>
                <w:sz w:val="20"/>
                <w:szCs w:val="20"/>
              </w:rPr>
            </w:pPr>
            <w:r>
              <w:rPr>
                <w:rFonts w:hint="eastAsia" w:ascii="华文楷体" w:hAnsi="华文楷体" w:eastAsia="华文楷体" w:cs="华文楷体"/>
                <w:sz w:val="20"/>
                <w:szCs w:val="20"/>
              </w:rPr>
              <w:t>纳税证明材料的时间范围</w:t>
            </w:r>
          </w:p>
        </w:tc>
        <w:tc>
          <w:tcPr>
            <w:tcW w:w="6787" w:type="dxa"/>
            <w:vAlign w:val="center"/>
          </w:tcPr>
          <w:p>
            <w:pPr>
              <w:autoSpaceDE w:val="0"/>
              <w:autoSpaceDN w:val="0"/>
              <w:snapToGrid w:val="0"/>
              <w:spacing w:line="300" w:lineRule="exact"/>
              <w:textAlignment w:val="bottom"/>
              <w:rPr>
                <w:rFonts w:ascii="华文楷体" w:hAnsi="华文楷体" w:eastAsia="华文楷体" w:cs="华文楷体"/>
                <w:b/>
                <w:sz w:val="20"/>
                <w:szCs w:val="20"/>
              </w:rPr>
            </w:pPr>
            <w:r>
              <w:rPr>
                <w:rFonts w:hint="eastAsia" w:ascii="华文楷体" w:hAnsi="华文楷体" w:eastAsia="华文楷体" w:cs="华文楷体"/>
                <w:b/>
                <w:sz w:val="20"/>
                <w:szCs w:val="20"/>
              </w:rPr>
              <w:t>缴税所属时间在2021年</w:t>
            </w:r>
            <w:r>
              <w:rPr>
                <w:rFonts w:hint="eastAsia" w:ascii="华文楷体" w:hAnsi="华文楷体" w:eastAsia="华文楷体" w:cs="华文楷体"/>
                <w:b/>
                <w:sz w:val="20"/>
                <w:szCs w:val="20"/>
                <w:u w:val="single"/>
              </w:rPr>
              <w:t>1</w:t>
            </w:r>
            <w:r>
              <w:rPr>
                <w:rFonts w:hint="eastAsia" w:ascii="华文楷体" w:hAnsi="华文楷体" w:eastAsia="华文楷体" w:cs="华文楷体"/>
                <w:b/>
                <w:sz w:val="20"/>
                <w:szCs w:val="20"/>
              </w:rPr>
              <w:t>月至</w:t>
            </w:r>
            <w:r>
              <w:rPr>
                <w:rFonts w:hint="eastAsia" w:ascii="华文楷体" w:hAnsi="华文楷体" w:eastAsia="华文楷体" w:cs="华文楷体"/>
                <w:b/>
                <w:sz w:val="20"/>
                <w:szCs w:val="20"/>
                <w:lang w:eastAsia="zh-CN"/>
              </w:rPr>
              <w:t>响应</w:t>
            </w:r>
            <w:r>
              <w:rPr>
                <w:rFonts w:hint="eastAsia" w:ascii="华文楷体" w:hAnsi="华文楷体" w:eastAsia="华文楷体" w:cs="华文楷体"/>
                <w:b/>
                <w:sz w:val="20"/>
                <w:szCs w:val="20"/>
              </w:rPr>
              <w:t>截止日期前任意</w:t>
            </w:r>
            <w:r>
              <w:rPr>
                <w:rFonts w:hint="eastAsia" w:ascii="华文楷体" w:hAnsi="华文楷体" w:eastAsia="华文楷体" w:cs="华文楷体"/>
                <w:b/>
                <w:sz w:val="20"/>
                <w:szCs w:val="20"/>
                <w:lang w:val="en-US" w:eastAsia="zh-CN"/>
              </w:rPr>
              <w:t>1</w:t>
            </w:r>
            <w:r>
              <w:rPr>
                <w:rFonts w:hint="eastAsia" w:ascii="华文楷体" w:hAnsi="华文楷体" w:eastAsia="华文楷体" w:cs="华文楷体"/>
                <w:b/>
                <w:sz w:val="20"/>
                <w:szCs w:val="20"/>
              </w:rPr>
              <w:t>个月的税务局税收通用缴款书扫描件或银行电子缴税（费）凭证扫描件或税务局出具纳税情况的相关证明扫描件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3021" w:type="dxa"/>
            <w:vAlign w:val="center"/>
          </w:tcPr>
          <w:p>
            <w:pPr>
              <w:pStyle w:val="6"/>
              <w:spacing w:line="300" w:lineRule="exact"/>
              <w:rPr>
                <w:rFonts w:ascii="华文楷体" w:hAnsi="华文楷体" w:eastAsia="华文楷体" w:cs="华文楷体"/>
                <w:sz w:val="20"/>
              </w:rPr>
            </w:pPr>
            <w:r>
              <w:rPr>
                <w:rFonts w:hint="eastAsia" w:ascii="华文楷体" w:hAnsi="华文楷体" w:eastAsia="华文楷体" w:cs="华文楷体"/>
                <w:sz w:val="20"/>
              </w:rPr>
              <w:t>缴纳社会保险证明材料的时间范围</w:t>
            </w:r>
          </w:p>
        </w:tc>
        <w:tc>
          <w:tcPr>
            <w:tcW w:w="6787" w:type="dxa"/>
            <w:vAlign w:val="center"/>
          </w:tcPr>
          <w:p>
            <w:pPr>
              <w:autoSpaceDE w:val="0"/>
              <w:autoSpaceDN w:val="0"/>
              <w:snapToGrid w:val="0"/>
              <w:spacing w:line="300" w:lineRule="exact"/>
              <w:textAlignment w:val="bottom"/>
              <w:rPr>
                <w:rFonts w:ascii="华文楷体" w:hAnsi="华文楷体" w:eastAsia="华文楷体" w:cs="华文楷体"/>
                <w:b/>
                <w:sz w:val="20"/>
                <w:szCs w:val="20"/>
              </w:rPr>
            </w:pPr>
            <w:r>
              <w:rPr>
                <w:rFonts w:hint="eastAsia" w:ascii="华文楷体" w:hAnsi="华文楷体" w:eastAsia="华文楷体" w:cs="华文楷体"/>
                <w:b/>
                <w:sz w:val="20"/>
                <w:szCs w:val="20"/>
              </w:rPr>
              <w:t>缴费所属时间在2021年</w:t>
            </w:r>
            <w:r>
              <w:rPr>
                <w:rFonts w:hint="eastAsia" w:ascii="华文楷体" w:hAnsi="华文楷体" w:eastAsia="华文楷体" w:cs="华文楷体"/>
                <w:b/>
                <w:sz w:val="20"/>
                <w:szCs w:val="20"/>
                <w:u w:val="single"/>
              </w:rPr>
              <w:t>1</w:t>
            </w:r>
            <w:r>
              <w:rPr>
                <w:rFonts w:hint="eastAsia" w:ascii="华文楷体" w:hAnsi="华文楷体" w:eastAsia="华文楷体" w:cs="华文楷体"/>
                <w:b/>
                <w:sz w:val="20"/>
                <w:szCs w:val="20"/>
              </w:rPr>
              <w:t>月至</w:t>
            </w:r>
            <w:r>
              <w:rPr>
                <w:rFonts w:hint="eastAsia" w:ascii="华文楷体" w:hAnsi="华文楷体" w:eastAsia="华文楷体" w:cs="华文楷体"/>
                <w:b/>
                <w:sz w:val="20"/>
                <w:szCs w:val="20"/>
                <w:lang w:eastAsia="zh-CN"/>
              </w:rPr>
              <w:t>响应</w:t>
            </w:r>
            <w:r>
              <w:rPr>
                <w:rFonts w:hint="eastAsia" w:ascii="华文楷体" w:hAnsi="华文楷体" w:eastAsia="华文楷体" w:cs="华文楷体"/>
                <w:b/>
                <w:sz w:val="20"/>
                <w:szCs w:val="20"/>
              </w:rPr>
              <w:t>截止日期前任意</w:t>
            </w:r>
            <w:r>
              <w:rPr>
                <w:rFonts w:hint="eastAsia" w:ascii="华文楷体" w:hAnsi="华文楷体" w:eastAsia="华文楷体" w:cs="华文楷体"/>
                <w:b/>
                <w:sz w:val="20"/>
                <w:szCs w:val="20"/>
                <w:lang w:val="en-US" w:eastAsia="zh-CN"/>
              </w:rPr>
              <w:t>1</w:t>
            </w:r>
            <w:r>
              <w:rPr>
                <w:rFonts w:hint="eastAsia" w:ascii="华文楷体" w:hAnsi="华文楷体" w:eastAsia="华文楷体" w:cs="华文楷体"/>
                <w:b/>
                <w:sz w:val="20"/>
                <w:szCs w:val="20"/>
              </w:rPr>
              <w:t>个月的社会保险费缴款书扫描件或银行电子缴税（费）凭证扫描件或社保管理部门出具的有效的缴款证明扫描件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3021" w:type="dxa"/>
            <w:vAlign w:val="center"/>
          </w:tcPr>
          <w:p>
            <w:pPr>
              <w:pStyle w:val="6"/>
              <w:spacing w:line="300" w:lineRule="exact"/>
              <w:rPr>
                <w:rFonts w:ascii="华文楷体" w:hAnsi="华文楷体" w:eastAsia="华文楷体" w:cs="华文楷体"/>
                <w:sz w:val="20"/>
              </w:rPr>
            </w:pPr>
            <w:r>
              <w:rPr>
                <w:rFonts w:hint="eastAsia" w:ascii="华文楷体" w:hAnsi="华文楷体" w:eastAsia="华文楷体" w:cs="华文楷体"/>
                <w:sz w:val="20"/>
              </w:rPr>
              <w:t>采购人根据采购项目的特殊要求规定的特定条件</w:t>
            </w:r>
          </w:p>
        </w:tc>
        <w:tc>
          <w:tcPr>
            <w:tcW w:w="6787" w:type="dxa"/>
            <w:vAlign w:val="center"/>
          </w:tcPr>
          <w:p>
            <w:pPr>
              <w:autoSpaceDE w:val="0"/>
              <w:autoSpaceDN w:val="0"/>
              <w:snapToGrid w:val="0"/>
              <w:spacing w:line="300" w:lineRule="exact"/>
              <w:textAlignment w:val="bottom"/>
              <w:rPr>
                <w:rFonts w:ascii="华文楷体" w:hAnsi="华文楷体" w:eastAsia="华文楷体" w:cs="华文楷体"/>
                <w:sz w:val="20"/>
                <w:szCs w:val="20"/>
              </w:rPr>
            </w:pPr>
            <w:r>
              <w:rPr>
                <w:rFonts w:hint="eastAsia" w:ascii="华文楷体" w:hAnsi="华文楷体" w:eastAsia="华文楷体" w:cs="华文楷体"/>
                <w:sz w:val="20"/>
                <w:szCs w:val="20"/>
              </w:rPr>
              <w:t>见第一章“</w:t>
            </w:r>
            <w:r>
              <w:rPr>
                <w:rFonts w:hint="eastAsia" w:ascii="华文楷体" w:hAnsi="华文楷体" w:eastAsia="华文楷体" w:cs="华文楷体"/>
                <w:sz w:val="20"/>
                <w:szCs w:val="20"/>
                <w:lang w:val="en-US" w:eastAsia="zh-CN"/>
              </w:rPr>
              <w:t>采购</w:t>
            </w:r>
            <w:r>
              <w:rPr>
                <w:rFonts w:hint="eastAsia" w:ascii="华文楷体" w:hAnsi="华文楷体" w:eastAsia="华文楷体" w:cs="华文楷体"/>
                <w:sz w:val="20"/>
                <w:szCs w:val="20"/>
              </w:rPr>
              <w:t>公告”，第六章资格评审标准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jc w:val="center"/>
        </w:trPr>
        <w:tc>
          <w:tcPr>
            <w:tcW w:w="3021" w:type="dxa"/>
            <w:vAlign w:val="center"/>
          </w:tcPr>
          <w:p>
            <w:pPr>
              <w:pStyle w:val="6"/>
              <w:spacing w:line="300" w:lineRule="exact"/>
              <w:rPr>
                <w:rFonts w:hint="eastAsia" w:ascii="华文楷体" w:hAnsi="华文楷体" w:eastAsia="华文楷体" w:cs="华文楷体"/>
                <w:sz w:val="20"/>
                <w:lang w:eastAsia="zh-CN"/>
              </w:rPr>
            </w:pPr>
            <w:r>
              <w:rPr>
                <w:rFonts w:hint="eastAsia" w:ascii="华文楷体" w:hAnsi="华文楷体" w:eastAsia="华文楷体" w:cs="华文楷体"/>
                <w:sz w:val="20"/>
              </w:rPr>
              <w:t>★是否接受联合体</w:t>
            </w:r>
            <w:r>
              <w:rPr>
                <w:rFonts w:hint="eastAsia" w:ascii="华文楷体" w:hAnsi="华文楷体" w:eastAsia="华文楷体" w:cs="华文楷体"/>
                <w:sz w:val="20"/>
                <w:lang w:eastAsia="zh-CN"/>
              </w:rPr>
              <w:t>响应</w:t>
            </w:r>
          </w:p>
        </w:tc>
        <w:tc>
          <w:tcPr>
            <w:tcW w:w="6787" w:type="dxa"/>
            <w:vAlign w:val="center"/>
          </w:tcPr>
          <w:p>
            <w:pPr>
              <w:pStyle w:val="6"/>
              <w:spacing w:line="300" w:lineRule="exact"/>
              <w:jc w:val="left"/>
              <w:rPr>
                <w:rFonts w:ascii="华文楷体" w:hAnsi="华文楷体" w:eastAsia="华文楷体" w:cs="华文楷体"/>
                <w:sz w:val="20"/>
              </w:rPr>
            </w:pPr>
            <w:r>
              <w:rPr>
                <w:rFonts w:hint="eastAsia" w:ascii="华文楷体" w:hAnsi="华文楷体" w:eastAsia="华文楷体" w:cs="华文楷体"/>
                <w:sz w:val="20"/>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jc w:val="center"/>
        </w:trPr>
        <w:tc>
          <w:tcPr>
            <w:tcW w:w="3021" w:type="dxa"/>
            <w:vAlign w:val="center"/>
          </w:tcPr>
          <w:p>
            <w:pPr>
              <w:pStyle w:val="6"/>
              <w:spacing w:line="300" w:lineRule="exact"/>
              <w:rPr>
                <w:rFonts w:ascii="华文楷体" w:hAnsi="华文楷体" w:eastAsia="华文楷体" w:cs="华文楷体"/>
                <w:sz w:val="20"/>
              </w:rPr>
            </w:pPr>
            <w:r>
              <w:rPr>
                <w:rFonts w:hint="eastAsia" w:ascii="华文楷体" w:hAnsi="华文楷体" w:eastAsia="华文楷体" w:cs="华文楷体"/>
                <w:sz w:val="20"/>
              </w:rPr>
              <w:t>★本项目预算金额、最高限价</w:t>
            </w:r>
          </w:p>
        </w:tc>
        <w:tc>
          <w:tcPr>
            <w:tcW w:w="6787" w:type="dxa"/>
            <w:vAlign w:val="center"/>
          </w:tcPr>
          <w:p>
            <w:pPr>
              <w:autoSpaceDE w:val="0"/>
              <w:autoSpaceDN w:val="0"/>
              <w:snapToGrid w:val="0"/>
              <w:spacing w:line="300" w:lineRule="exact"/>
              <w:textAlignment w:val="bottom"/>
              <w:rPr>
                <w:rFonts w:ascii="华文楷体" w:hAnsi="华文楷体" w:eastAsia="华文楷体" w:cs="华文楷体"/>
                <w:bCs/>
                <w:sz w:val="20"/>
                <w:szCs w:val="20"/>
              </w:rPr>
            </w:pPr>
            <w:r>
              <w:rPr>
                <w:rFonts w:hint="eastAsia" w:ascii="华文楷体" w:hAnsi="华文楷体" w:eastAsia="华文楷体" w:cs="华文楷体"/>
                <w:sz w:val="20"/>
                <w:szCs w:val="20"/>
              </w:rPr>
              <w:t>见第一章“</w:t>
            </w:r>
            <w:r>
              <w:rPr>
                <w:rFonts w:hint="eastAsia" w:ascii="华文楷体" w:hAnsi="华文楷体" w:eastAsia="华文楷体" w:cs="华文楷体"/>
                <w:sz w:val="20"/>
                <w:szCs w:val="20"/>
                <w:lang w:val="en-US" w:eastAsia="zh-CN"/>
              </w:rPr>
              <w:t>采购</w:t>
            </w:r>
            <w:r>
              <w:rPr>
                <w:rFonts w:hint="eastAsia" w:ascii="华文楷体" w:hAnsi="华文楷体" w:eastAsia="华文楷体" w:cs="华文楷体"/>
                <w:sz w:val="20"/>
                <w:szCs w:val="20"/>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3021" w:type="dxa"/>
            <w:vAlign w:val="center"/>
          </w:tcPr>
          <w:p>
            <w:pPr>
              <w:spacing w:line="300" w:lineRule="exact"/>
              <w:jc w:val="left"/>
              <w:rPr>
                <w:rFonts w:ascii="华文楷体" w:hAnsi="华文楷体" w:eastAsia="华文楷体" w:cs="华文楷体"/>
                <w:sz w:val="20"/>
                <w:szCs w:val="20"/>
              </w:rPr>
            </w:pPr>
            <w:r>
              <w:rPr>
                <w:rFonts w:hint="eastAsia" w:ascii="华文楷体" w:hAnsi="华文楷体" w:eastAsia="华文楷体" w:cs="华文楷体"/>
                <w:sz w:val="20"/>
                <w:szCs w:val="20"/>
              </w:rPr>
              <w:t>技术服务费</w:t>
            </w:r>
          </w:p>
        </w:tc>
        <w:tc>
          <w:tcPr>
            <w:tcW w:w="6787" w:type="dxa"/>
            <w:vAlign w:val="center"/>
          </w:tcPr>
          <w:p>
            <w:pPr>
              <w:spacing w:line="300" w:lineRule="exact"/>
              <w:jc w:val="left"/>
              <w:rPr>
                <w:rFonts w:ascii="华文楷体" w:hAnsi="华文楷体" w:eastAsia="华文楷体" w:cs="华文楷体"/>
                <w:sz w:val="20"/>
                <w:szCs w:val="20"/>
              </w:rPr>
            </w:pPr>
            <w:r>
              <w:rPr>
                <w:rFonts w:hint="eastAsia" w:ascii="华文楷体" w:hAnsi="华文楷体" w:eastAsia="华文楷体" w:cs="华文楷体"/>
                <w:sz w:val="20"/>
                <w:szCs w:val="20"/>
              </w:rPr>
              <w:t>提供现场服务，并按“技术要求”提供人员培训的费用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3021" w:type="dxa"/>
            <w:vAlign w:val="center"/>
          </w:tcPr>
          <w:p>
            <w:pPr>
              <w:pStyle w:val="6"/>
              <w:spacing w:line="300" w:lineRule="exact"/>
              <w:rPr>
                <w:rFonts w:ascii="华文楷体" w:hAnsi="华文楷体" w:eastAsia="华文楷体" w:cs="华文楷体"/>
                <w:sz w:val="20"/>
              </w:rPr>
            </w:pPr>
            <w:r>
              <w:rPr>
                <w:rFonts w:hint="eastAsia" w:ascii="华文楷体" w:hAnsi="华文楷体" w:eastAsia="华文楷体" w:cs="华文楷体"/>
                <w:sz w:val="20"/>
              </w:rPr>
              <w:t>★</w:t>
            </w:r>
            <w:r>
              <w:rPr>
                <w:rFonts w:hint="eastAsia" w:ascii="华文楷体" w:hAnsi="华文楷体" w:eastAsia="华文楷体" w:cs="华文楷体"/>
                <w:sz w:val="20"/>
                <w:lang w:val="en-US" w:eastAsia="zh-CN"/>
              </w:rPr>
              <w:t>响应</w:t>
            </w:r>
            <w:r>
              <w:rPr>
                <w:rFonts w:hint="eastAsia" w:ascii="华文楷体" w:hAnsi="华文楷体" w:eastAsia="华文楷体" w:cs="华文楷体"/>
                <w:sz w:val="20"/>
              </w:rPr>
              <w:t>文件有效期</w:t>
            </w:r>
          </w:p>
        </w:tc>
        <w:tc>
          <w:tcPr>
            <w:tcW w:w="6787" w:type="dxa"/>
            <w:vAlign w:val="center"/>
          </w:tcPr>
          <w:p>
            <w:pPr>
              <w:pStyle w:val="6"/>
              <w:spacing w:line="300" w:lineRule="exact"/>
              <w:rPr>
                <w:rFonts w:ascii="华文楷体" w:hAnsi="华文楷体" w:eastAsia="华文楷体" w:cs="华文楷体"/>
                <w:sz w:val="20"/>
              </w:rPr>
            </w:pPr>
            <w:r>
              <w:rPr>
                <w:rFonts w:hint="eastAsia" w:ascii="华文楷体" w:hAnsi="华文楷体" w:eastAsia="华文楷体" w:cs="华文楷体"/>
                <w:sz w:val="20"/>
              </w:rPr>
              <w:t>从提交</w:t>
            </w:r>
            <w:r>
              <w:rPr>
                <w:rFonts w:hint="eastAsia" w:ascii="华文楷体" w:hAnsi="华文楷体" w:eastAsia="华文楷体" w:cs="华文楷体"/>
                <w:sz w:val="20"/>
                <w:lang w:val="en-US" w:eastAsia="zh-CN"/>
              </w:rPr>
              <w:t>响应</w:t>
            </w:r>
            <w:r>
              <w:rPr>
                <w:rFonts w:hint="eastAsia" w:ascii="华文楷体" w:hAnsi="华文楷体" w:eastAsia="华文楷体" w:cs="华文楷体"/>
                <w:sz w:val="20"/>
              </w:rPr>
              <w:t>文件截止之日起</w:t>
            </w:r>
            <w:r>
              <w:rPr>
                <w:rFonts w:hint="eastAsia" w:ascii="华文楷体" w:hAnsi="华文楷体" w:eastAsia="华文楷体" w:cs="华文楷体"/>
                <w:sz w:val="20"/>
                <w:u w:val="single"/>
              </w:rPr>
              <w:t>90</w:t>
            </w:r>
            <w:r>
              <w:rPr>
                <w:rFonts w:hint="eastAsia" w:ascii="华文楷体" w:hAnsi="华文楷体" w:eastAsia="华文楷体" w:cs="华文楷体"/>
                <w:sz w:val="20"/>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3021" w:type="dxa"/>
            <w:vAlign w:val="center"/>
          </w:tcPr>
          <w:p>
            <w:pPr>
              <w:pStyle w:val="6"/>
              <w:spacing w:line="300" w:lineRule="exact"/>
              <w:rPr>
                <w:rFonts w:ascii="华文楷体" w:hAnsi="华文楷体" w:eastAsia="华文楷体" w:cs="华文楷体"/>
                <w:sz w:val="20"/>
              </w:rPr>
            </w:pPr>
            <w:r>
              <w:rPr>
                <w:rFonts w:hint="eastAsia" w:ascii="华文楷体" w:hAnsi="华文楷体" w:eastAsia="华文楷体" w:cs="华文楷体"/>
                <w:sz w:val="20"/>
              </w:rPr>
              <w:t>分包</w:t>
            </w:r>
          </w:p>
        </w:tc>
        <w:tc>
          <w:tcPr>
            <w:tcW w:w="6787" w:type="dxa"/>
            <w:vAlign w:val="center"/>
          </w:tcPr>
          <w:p>
            <w:pPr>
              <w:pStyle w:val="6"/>
              <w:spacing w:line="300" w:lineRule="exact"/>
              <w:rPr>
                <w:rFonts w:ascii="华文楷体" w:hAnsi="华文楷体" w:eastAsia="华文楷体" w:cs="华文楷体"/>
                <w:sz w:val="20"/>
              </w:rPr>
            </w:pPr>
            <w:r>
              <w:rPr>
                <w:rFonts w:hint="eastAsia" w:ascii="华文楷体" w:hAnsi="华文楷体" w:eastAsia="华文楷体" w:cs="华文楷体"/>
                <w:sz w:val="20"/>
              </w:rPr>
              <w:t>■本项目不得分包。</w:t>
            </w:r>
          </w:p>
          <w:p>
            <w:pPr>
              <w:pStyle w:val="6"/>
              <w:spacing w:line="300" w:lineRule="exact"/>
              <w:rPr>
                <w:rFonts w:ascii="华文楷体" w:hAnsi="华文楷体" w:eastAsia="华文楷体" w:cs="华文楷体"/>
                <w:sz w:val="20"/>
              </w:rPr>
            </w:pPr>
            <w:r>
              <w:rPr>
                <w:rFonts w:hint="eastAsia" w:ascii="华文楷体" w:hAnsi="华文楷体" w:eastAsia="华文楷体" w:cs="华文楷体"/>
                <w:sz w:val="20"/>
              </w:rPr>
              <w:t>□本项目中，</w:t>
            </w:r>
            <w:r>
              <w:rPr>
                <w:rFonts w:hint="eastAsia" w:ascii="华文楷体" w:hAnsi="华文楷体" w:eastAsia="华文楷体" w:cs="华文楷体"/>
                <w:sz w:val="20"/>
                <w:u w:val="single"/>
              </w:rPr>
              <w:t xml:space="preserve">            </w:t>
            </w:r>
            <w:r>
              <w:rPr>
                <w:rFonts w:hint="eastAsia" w:ascii="华文楷体" w:hAnsi="华文楷体" w:eastAsia="华文楷体" w:cs="华文楷体"/>
                <w:sz w:val="20"/>
              </w:rPr>
              <w:t>可以分包。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3021" w:type="dxa"/>
            <w:vAlign w:val="center"/>
          </w:tcPr>
          <w:p>
            <w:pPr>
              <w:pStyle w:val="6"/>
              <w:spacing w:line="300" w:lineRule="exact"/>
              <w:rPr>
                <w:rFonts w:ascii="华文楷体" w:hAnsi="华文楷体" w:eastAsia="华文楷体" w:cs="华文楷体"/>
                <w:sz w:val="20"/>
              </w:rPr>
            </w:pPr>
            <w:r>
              <w:rPr>
                <w:rFonts w:hint="eastAsia" w:ascii="华文楷体" w:hAnsi="华文楷体" w:eastAsia="华文楷体" w:cs="华文楷体"/>
                <w:sz w:val="20"/>
              </w:rPr>
              <w:t>提交</w:t>
            </w:r>
            <w:r>
              <w:rPr>
                <w:rFonts w:hint="eastAsia" w:ascii="华文楷体" w:hAnsi="华文楷体" w:eastAsia="华文楷体" w:cs="华文楷体"/>
                <w:sz w:val="20"/>
                <w:lang w:eastAsia="zh-CN"/>
              </w:rPr>
              <w:t>响应</w:t>
            </w:r>
            <w:r>
              <w:rPr>
                <w:rFonts w:hint="eastAsia" w:ascii="华文楷体" w:hAnsi="华文楷体" w:eastAsia="华文楷体" w:cs="华文楷体"/>
                <w:sz w:val="20"/>
              </w:rPr>
              <w:t>文件截止时间</w:t>
            </w:r>
          </w:p>
        </w:tc>
        <w:tc>
          <w:tcPr>
            <w:tcW w:w="6787" w:type="dxa"/>
            <w:vAlign w:val="center"/>
          </w:tcPr>
          <w:p>
            <w:pPr>
              <w:pStyle w:val="6"/>
              <w:spacing w:line="300" w:lineRule="exact"/>
              <w:ind w:left="662" w:hanging="662" w:hangingChars="331"/>
              <w:rPr>
                <w:rFonts w:ascii="华文楷体" w:hAnsi="华文楷体" w:eastAsia="华文楷体" w:cs="华文楷体"/>
                <w:b/>
                <w:sz w:val="20"/>
              </w:rPr>
            </w:pPr>
            <w:r>
              <w:rPr>
                <w:rFonts w:hint="eastAsia" w:ascii="华文楷体" w:hAnsi="华文楷体" w:eastAsia="华文楷体" w:cs="华文楷体"/>
                <w:sz w:val="20"/>
              </w:rPr>
              <w:t>见第一章“</w:t>
            </w:r>
            <w:r>
              <w:rPr>
                <w:rFonts w:hint="eastAsia" w:ascii="华文楷体" w:hAnsi="华文楷体" w:eastAsia="华文楷体" w:cs="华文楷体"/>
                <w:sz w:val="20"/>
                <w:lang w:val="en-US" w:eastAsia="zh-CN"/>
              </w:rPr>
              <w:t>采购</w:t>
            </w:r>
            <w:r>
              <w:rPr>
                <w:rFonts w:hint="eastAsia" w:ascii="华文楷体" w:hAnsi="华文楷体" w:eastAsia="华文楷体" w:cs="华文楷体"/>
                <w:sz w:val="20"/>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3021" w:type="dxa"/>
            <w:vAlign w:val="center"/>
          </w:tcPr>
          <w:p>
            <w:pPr>
              <w:pStyle w:val="6"/>
              <w:spacing w:line="300" w:lineRule="exact"/>
              <w:rPr>
                <w:rFonts w:ascii="华文楷体" w:hAnsi="华文楷体" w:eastAsia="华文楷体" w:cs="华文楷体"/>
                <w:sz w:val="20"/>
                <w:highlight w:val="none"/>
              </w:rPr>
            </w:pPr>
            <w:r>
              <w:rPr>
                <w:rFonts w:hint="eastAsia" w:ascii="华文楷体" w:hAnsi="华文楷体" w:eastAsia="华文楷体" w:cs="华文楷体"/>
                <w:sz w:val="20"/>
                <w:highlight w:val="none"/>
                <w:lang w:eastAsia="zh-CN"/>
              </w:rPr>
              <w:t>响应</w:t>
            </w:r>
            <w:r>
              <w:rPr>
                <w:rFonts w:hint="eastAsia" w:ascii="华文楷体" w:hAnsi="华文楷体" w:eastAsia="华文楷体" w:cs="华文楷体"/>
                <w:sz w:val="20"/>
                <w:highlight w:val="none"/>
              </w:rPr>
              <w:t>文件份数</w:t>
            </w:r>
          </w:p>
        </w:tc>
        <w:tc>
          <w:tcPr>
            <w:tcW w:w="6787" w:type="dxa"/>
            <w:vAlign w:val="center"/>
          </w:tcPr>
          <w:p>
            <w:pPr>
              <w:pStyle w:val="6"/>
              <w:spacing w:line="300" w:lineRule="exact"/>
              <w:ind w:left="662" w:hanging="662" w:hangingChars="331"/>
              <w:rPr>
                <w:rFonts w:ascii="华文楷体" w:hAnsi="华文楷体" w:eastAsia="华文楷体" w:cs="华文楷体"/>
                <w:sz w:val="20"/>
                <w:highlight w:val="none"/>
              </w:rPr>
            </w:pPr>
            <w:r>
              <w:rPr>
                <w:rFonts w:hint="eastAsia" w:ascii="华文楷体" w:hAnsi="华文楷体" w:eastAsia="华文楷体" w:cs="华文楷体"/>
                <w:sz w:val="20"/>
                <w:highlight w:val="none"/>
              </w:rPr>
              <w:t>一式三份，一正二副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3021" w:type="dxa"/>
            <w:vAlign w:val="center"/>
          </w:tcPr>
          <w:p>
            <w:pPr>
              <w:pStyle w:val="6"/>
              <w:spacing w:line="300" w:lineRule="exact"/>
              <w:rPr>
                <w:rFonts w:ascii="华文楷体" w:hAnsi="华文楷体" w:eastAsia="华文楷体" w:cs="华文楷体"/>
                <w:sz w:val="20"/>
              </w:rPr>
            </w:pPr>
            <w:r>
              <w:rPr>
                <w:rFonts w:hint="eastAsia" w:ascii="华文楷体" w:hAnsi="华文楷体" w:eastAsia="华文楷体" w:cs="华文楷体"/>
                <w:sz w:val="20"/>
              </w:rPr>
              <w:t>开标时间和地点</w:t>
            </w:r>
          </w:p>
        </w:tc>
        <w:tc>
          <w:tcPr>
            <w:tcW w:w="6787" w:type="dxa"/>
            <w:vAlign w:val="center"/>
          </w:tcPr>
          <w:p>
            <w:pPr>
              <w:pStyle w:val="6"/>
              <w:spacing w:line="300" w:lineRule="exact"/>
              <w:rPr>
                <w:rFonts w:ascii="华文楷体" w:hAnsi="华文楷体" w:eastAsia="华文楷体" w:cs="华文楷体"/>
                <w:sz w:val="20"/>
              </w:rPr>
            </w:pPr>
            <w:r>
              <w:rPr>
                <w:rFonts w:hint="eastAsia" w:ascii="华文楷体" w:hAnsi="华文楷体" w:eastAsia="华文楷体" w:cs="华文楷体"/>
                <w:sz w:val="20"/>
              </w:rPr>
              <w:t>见第一章“</w:t>
            </w:r>
            <w:r>
              <w:rPr>
                <w:rFonts w:hint="eastAsia" w:ascii="华文楷体" w:hAnsi="华文楷体" w:eastAsia="华文楷体" w:cs="华文楷体"/>
                <w:sz w:val="20"/>
                <w:lang w:val="en-US" w:eastAsia="zh-CN"/>
              </w:rPr>
              <w:t>采购</w:t>
            </w:r>
            <w:r>
              <w:rPr>
                <w:rFonts w:hint="eastAsia" w:ascii="华文楷体" w:hAnsi="华文楷体" w:eastAsia="华文楷体" w:cs="华文楷体"/>
                <w:sz w:val="20"/>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3021" w:type="dxa"/>
            <w:vAlign w:val="center"/>
          </w:tcPr>
          <w:p>
            <w:pPr>
              <w:pStyle w:val="6"/>
              <w:spacing w:line="300" w:lineRule="exact"/>
              <w:rPr>
                <w:rFonts w:ascii="华文楷体" w:hAnsi="华文楷体" w:eastAsia="华文楷体" w:cs="华文楷体"/>
                <w:sz w:val="20"/>
              </w:rPr>
            </w:pPr>
            <w:r>
              <w:rPr>
                <w:rFonts w:hint="eastAsia" w:ascii="华文楷体" w:hAnsi="华文楷体" w:eastAsia="华文楷体" w:cs="华文楷体"/>
                <w:sz w:val="20"/>
                <w:lang w:eastAsia="zh-CN"/>
              </w:rPr>
              <w:t>评审</w:t>
            </w:r>
            <w:r>
              <w:rPr>
                <w:rFonts w:hint="eastAsia" w:ascii="华文楷体" w:hAnsi="华文楷体" w:eastAsia="华文楷体" w:cs="华文楷体"/>
                <w:sz w:val="20"/>
              </w:rPr>
              <w:t>方法</w:t>
            </w:r>
          </w:p>
        </w:tc>
        <w:tc>
          <w:tcPr>
            <w:tcW w:w="6787" w:type="dxa"/>
            <w:vAlign w:val="center"/>
          </w:tcPr>
          <w:p>
            <w:pPr>
              <w:spacing w:line="300" w:lineRule="exact"/>
              <w:rPr>
                <w:rFonts w:ascii="华文楷体" w:hAnsi="华文楷体" w:eastAsia="华文楷体" w:cs="华文楷体"/>
                <w:sz w:val="20"/>
                <w:szCs w:val="20"/>
              </w:rPr>
            </w:pPr>
            <w:r>
              <w:rPr>
                <w:rFonts w:hint="eastAsia" w:ascii="华文楷体" w:hAnsi="华文楷体" w:eastAsia="华文楷体" w:cs="华文楷体"/>
                <w:sz w:val="20"/>
                <w:szCs w:val="20"/>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3021" w:type="dxa"/>
            <w:vAlign w:val="center"/>
          </w:tcPr>
          <w:p>
            <w:pPr>
              <w:pStyle w:val="6"/>
              <w:spacing w:line="300" w:lineRule="exact"/>
              <w:rPr>
                <w:rFonts w:ascii="华文楷体" w:hAnsi="华文楷体" w:eastAsia="华文楷体" w:cs="华文楷体"/>
                <w:sz w:val="20"/>
              </w:rPr>
            </w:pPr>
            <w:r>
              <w:rPr>
                <w:rFonts w:hint="eastAsia" w:ascii="华文楷体" w:hAnsi="华文楷体" w:eastAsia="华文楷体" w:cs="华文楷体"/>
                <w:sz w:val="20"/>
              </w:rPr>
              <w:t>备选方案</w:t>
            </w:r>
          </w:p>
        </w:tc>
        <w:tc>
          <w:tcPr>
            <w:tcW w:w="6787" w:type="dxa"/>
            <w:vAlign w:val="center"/>
          </w:tcPr>
          <w:p>
            <w:pPr>
              <w:pStyle w:val="6"/>
              <w:spacing w:line="300" w:lineRule="exact"/>
              <w:rPr>
                <w:rFonts w:ascii="华文楷体" w:hAnsi="华文楷体" w:eastAsia="华文楷体" w:cs="华文楷体"/>
                <w:sz w:val="20"/>
              </w:rPr>
            </w:pPr>
            <w:r>
              <w:rPr>
                <w:rFonts w:hint="eastAsia" w:ascii="华文楷体" w:hAnsi="华文楷体" w:eastAsia="华文楷体" w:cs="华文楷体"/>
                <w:sz w:val="20"/>
              </w:rPr>
              <w:t>不接受</w:t>
            </w:r>
          </w:p>
        </w:tc>
      </w:tr>
    </w:tbl>
    <w:p>
      <w:pPr>
        <w:rPr>
          <w:rFonts w:ascii="华文楷体" w:hAnsi="华文楷体" w:eastAsia="华文楷体" w:cs="华文楷体"/>
          <w:sz w:val="24"/>
        </w:rPr>
        <w:sectPr>
          <w:pgSz w:w="11906" w:h="16838"/>
          <w:pgMar w:top="1440" w:right="1800" w:bottom="1440" w:left="1800" w:header="851" w:footer="992" w:gutter="0"/>
          <w:cols w:space="425" w:num="1"/>
          <w:docGrid w:type="lines" w:linePitch="312" w:charSpace="0"/>
        </w:sectPr>
      </w:pPr>
    </w:p>
    <w:p>
      <w:pPr>
        <w:pStyle w:val="3"/>
        <w:outlineLvl w:val="1"/>
        <w:rPr>
          <w:rFonts w:ascii="华文楷体" w:hAnsi="华文楷体" w:eastAsia="华文楷体" w:cs="华文楷体"/>
          <w:sz w:val="24"/>
        </w:rPr>
      </w:pPr>
      <w:bookmarkStart w:id="6" w:name="_Toc11917"/>
      <w:bookmarkStart w:id="7" w:name="_Toc22701"/>
      <w:r>
        <w:rPr>
          <w:rFonts w:hint="eastAsia" w:ascii="华文楷体" w:hAnsi="华文楷体" w:eastAsia="华文楷体" w:cs="华文楷体"/>
          <w:sz w:val="24"/>
        </w:rPr>
        <w:t>一、</w:t>
      </w:r>
      <w:r>
        <w:rPr>
          <w:rFonts w:hint="eastAsia" w:ascii="华文楷体" w:hAnsi="华文楷体" w:eastAsia="华文楷体" w:cs="华文楷体"/>
          <w:sz w:val="24"/>
          <w:lang w:val="en-US" w:eastAsia="zh-CN"/>
        </w:rPr>
        <w:t>供应商资格要求</w:t>
      </w:r>
      <w:r>
        <w:rPr>
          <w:rFonts w:hint="eastAsia" w:ascii="华文楷体" w:hAnsi="华文楷体" w:eastAsia="华文楷体" w:cs="华文楷体"/>
          <w:sz w:val="24"/>
        </w:rPr>
        <w:t>（见第一章“采购公告”）</w:t>
      </w:r>
      <w:bookmarkEnd w:id="6"/>
      <w:bookmarkEnd w:id="7"/>
    </w:p>
    <w:p>
      <w:pPr>
        <w:pStyle w:val="3"/>
        <w:outlineLvl w:val="1"/>
        <w:rPr>
          <w:rFonts w:ascii="华文楷体" w:hAnsi="华文楷体" w:eastAsia="华文楷体" w:cs="华文楷体"/>
          <w:sz w:val="24"/>
        </w:rPr>
      </w:pPr>
      <w:bookmarkStart w:id="8" w:name="_Toc29042"/>
      <w:bookmarkStart w:id="9" w:name="_Toc9135"/>
      <w:r>
        <w:rPr>
          <w:rFonts w:hint="eastAsia" w:ascii="华文楷体" w:hAnsi="华文楷体" w:eastAsia="华文楷体" w:cs="华文楷体"/>
          <w:sz w:val="24"/>
        </w:rPr>
        <w:t>二、</w:t>
      </w:r>
      <w:r>
        <w:rPr>
          <w:rFonts w:hint="eastAsia" w:ascii="华文楷体" w:hAnsi="华文楷体" w:eastAsia="华文楷体" w:cs="华文楷体"/>
          <w:sz w:val="24"/>
          <w:lang w:eastAsia="zh-CN"/>
        </w:rPr>
        <w:t>采购</w:t>
      </w:r>
      <w:r>
        <w:rPr>
          <w:rFonts w:hint="eastAsia" w:ascii="华文楷体" w:hAnsi="华文楷体" w:eastAsia="华文楷体" w:cs="华文楷体"/>
          <w:sz w:val="24"/>
        </w:rPr>
        <w:t>文件</w:t>
      </w:r>
      <w:bookmarkEnd w:id="8"/>
      <w:bookmarkEnd w:id="9"/>
    </w:p>
    <w:p>
      <w:pPr>
        <w:spacing w:line="360" w:lineRule="auto"/>
        <w:outlineLvl w:val="2"/>
        <w:rPr>
          <w:rFonts w:ascii="华文楷体" w:hAnsi="华文楷体" w:eastAsia="华文楷体" w:cs="华文楷体"/>
          <w:sz w:val="24"/>
        </w:rPr>
      </w:pPr>
      <w:r>
        <w:rPr>
          <w:rFonts w:hint="eastAsia" w:ascii="华文楷体" w:hAnsi="华文楷体" w:eastAsia="华文楷体" w:cs="华文楷体"/>
          <w:sz w:val="24"/>
        </w:rPr>
        <w:t xml:space="preserve">1 </w:t>
      </w:r>
      <w:r>
        <w:rPr>
          <w:rFonts w:hint="eastAsia" w:ascii="华文楷体" w:hAnsi="华文楷体" w:eastAsia="华文楷体" w:cs="华文楷体"/>
          <w:sz w:val="24"/>
          <w:lang w:eastAsia="zh-CN"/>
        </w:rPr>
        <w:t>采购</w:t>
      </w:r>
      <w:r>
        <w:rPr>
          <w:rFonts w:hint="eastAsia" w:ascii="华文楷体" w:hAnsi="华文楷体" w:eastAsia="华文楷体" w:cs="华文楷体"/>
          <w:sz w:val="24"/>
        </w:rPr>
        <w:t>文件构成</w:t>
      </w:r>
    </w:p>
    <w:p>
      <w:pPr>
        <w:spacing w:line="360" w:lineRule="auto"/>
        <w:rPr>
          <w:rFonts w:ascii="华文楷体" w:hAnsi="华文楷体" w:eastAsia="华文楷体" w:cs="华文楷体"/>
          <w:sz w:val="24"/>
        </w:rPr>
      </w:pPr>
      <w:r>
        <w:rPr>
          <w:rFonts w:hint="eastAsia" w:ascii="华文楷体" w:hAnsi="华文楷体" w:eastAsia="华文楷体" w:cs="华文楷体"/>
          <w:sz w:val="24"/>
        </w:rPr>
        <w:t>要求提供的货物、采购过程及合同条款在</w:t>
      </w:r>
      <w:r>
        <w:rPr>
          <w:rFonts w:hint="eastAsia" w:ascii="华文楷体" w:hAnsi="华文楷体" w:eastAsia="华文楷体" w:cs="华文楷体"/>
          <w:sz w:val="24"/>
          <w:lang w:eastAsia="zh-CN"/>
        </w:rPr>
        <w:t>采购</w:t>
      </w:r>
      <w:r>
        <w:rPr>
          <w:rFonts w:hint="eastAsia" w:ascii="华文楷体" w:hAnsi="华文楷体" w:eastAsia="华文楷体" w:cs="华文楷体"/>
          <w:sz w:val="24"/>
        </w:rPr>
        <w:t>文件中均有说明，</w:t>
      </w:r>
      <w:r>
        <w:rPr>
          <w:rFonts w:hint="eastAsia" w:ascii="华文楷体" w:hAnsi="华文楷体" w:eastAsia="华文楷体" w:cs="华文楷体"/>
          <w:sz w:val="24"/>
          <w:lang w:eastAsia="zh-CN"/>
        </w:rPr>
        <w:t>采购</w:t>
      </w:r>
      <w:r>
        <w:rPr>
          <w:rFonts w:hint="eastAsia" w:ascii="华文楷体" w:hAnsi="华文楷体" w:eastAsia="华文楷体" w:cs="华文楷体"/>
          <w:sz w:val="24"/>
        </w:rPr>
        <w:t>文件共七章，各章的内容如下：</w:t>
      </w:r>
    </w:p>
    <w:p>
      <w:pPr>
        <w:spacing w:line="360" w:lineRule="auto"/>
        <w:rPr>
          <w:rFonts w:ascii="华文楷体" w:hAnsi="华文楷体" w:eastAsia="华文楷体" w:cs="华文楷体"/>
          <w:sz w:val="24"/>
        </w:rPr>
      </w:pPr>
      <w:r>
        <w:rPr>
          <w:rFonts w:hint="eastAsia" w:ascii="华文楷体" w:hAnsi="华文楷体" w:eastAsia="华文楷体" w:cs="华文楷体"/>
          <w:sz w:val="24"/>
        </w:rPr>
        <w:t xml:space="preserve">第一章  </w:t>
      </w:r>
      <w:r>
        <w:rPr>
          <w:rFonts w:hint="eastAsia" w:ascii="华文楷体" w:hAnsi="华文楷体" w:eastAsia="华文楷体" w:cs="华文楷体"/>
          <w:sz w:val="24"/>
          <w:lang w:eastAsia="zh-CN"/>
        </w:rPr>
        <w:t>采购</w:t>
      </w:r>
      <w:r>
        <w:rPr>
          <w:rFonts w:hint="eastAsia" w:ascii="华文楷体" w:hAnsi="华文楷体" w:eastAsia="华文楷体" w:cs="华文楷体"/>
          <w:sz w:val="24"/>
        </w:rPr>
        <w:t>公告</w:t>
      </w:r>
    </w:p>
    <w:p>
      <w:pPr>
        <w:spacing w:line="360" w:lineRule="auto"/>
        <w:rPr>
          <w:rFonts w:ascii="华文楷体" w:hAnsi="华文楷体" w:eastAsia="华文楷体" w:cs="华文楷体"/>
          <w:sz w:val="24"/>
        </w:rPr>
      </w:pPr>
      <w:r>
        <w:rPr>
          <w:rFonts w:hint="eastAsia" w:ascii="华文楷体" w:hAnsi="华文楷体" w:eastAsia="华文楷体" w:cs="华文楷体"/>
          <w:sz w:val="24"/>
        </w:rPr>
        <w:t xml:space="preserve">第二章  </w:t>
      </w:r>
      <w:r>
        <w:rPr>
          <w:rFonts w:hint="eastAsia" w:ascii="华文楷体" w:hAnsi="华文楷体" w:eastAsia="华文楷体" w:cs="华文楷体"/>
          <w:sz w:val="24"/>
          <w:lang w:eastAsia="zh-CN"/>
        </w:rPr>
        <w:t>响应人</w:t>
      </w:r>
      <w:r>
        <w:rPr>
          <w:rFonts w:hint="eastAsia" w:ascii="华文楷体" w:hAnsi="华文楷体" w:eastAsia="华文楷体" w:cs="华文楷体"/>
          <w:sz w:val="24"/>
        </w:rPr>
        <w:t>须知</w:t>
      </w:r>
    </w:p>
    <w:p>
      <w:pPr>
        <w:spacing w:line="360" w:lineRule="auto"/>
        <w:rPr>
          <w:rFonts w:ascii="华文楷体" w:hAnsi="华文楷体" w:eastAsia="华文楷体" w:cs="华文楷体"/>
          <w:sz w:val="24"/>
        </w:rPr>
      </w:pPr>
      <w:r>
        <w:rPr>
          <w:rFonts w:hint="eastAsia" w:ascii="华文楷体" w:hAnsi="华文楷体" w:eastAsia="华文楷体" w:cs="华文楷体"/>
          <w:sz w:val="24"/>
        </w:rPr>
        <w:t>第三章  合同书样式及主要条款</w:t>
      </w:r>
    </w:p>
    <w:p>
      <w:pPr>
        <w:spacing w:line="360" w:lineRule="auto"/>
        <w:rPr>
          <w:rFonts w:ascii="华文楷体" w:hAnsi="华文楷体" w:eastAsia="华文楷体" w:cs="华文楷体"/>
          <w:sz w:val="24"/>
        </w:rPr>
      </w:pPr>
      <w:r>
        <w:rPr>
          <w:rFonts w:hint="eastAsia" w:ascii="华文楷体" w:hAnsi="华文楷体" w:eastAsia="华文楷体" w:cs="华文楷体"/>
          <w:sz w:val="24"/>
        </w:rPr>
        <w:t xml:space="preserve">第四章  </w:t>
      </w:r>
      <w:r>
        <w:rPr>
          <w:rFonts w:hint="eastAsia" w:ascii="华文楷体" w:hAnsi="华文楷体" w:eastAsia="华文楷体" w:cs="华文楷体"/>
          <w:sz w:val="24"/>
          <w:lang w:val="en-US" w:eastAsia="zh-CN"/>
        </w:rPr>
        <w:t>响应</w:t>
      </w:r>
      <w:r>
        <w:rPr>
          <w:rFonts w:hint="eastAsia" w:ascii="华文楷体" w:hAnsi="华文楷体" w:eastAsia="华文楷体" w:cs="华文楷体"/>
          <w:sz w:val="24"/>
        </w:rPr>
        <w:t>文件格式（附件）</w:t>
      </w:r>
    </w:p>
    <w:p>
      <w:pPr>
        <w:spacing w:line="360" w:lineRule="auto"/>
        <w:rPr>
          <w:rFonts w:ascii="华文楷体" w:hAnsi="华文楷体" w:eastAsia="华文楷体" w:cs="华文楷体"/>
          <w:sz w:val="24"/>
        </w:rPr>
      </w:pPr>
      <w:r>
        <w:rPr>
          <w:rFonts w:hint="eastAsia" w:ascii="华文楷体" w:hAnsi="华文楷体" w:eastAsia="华文楷体" w:cs="华文楷体"/>
          <w:sz w:val="24"/>
        </w:rPr>
        <w:t>第五章  项目需求及技术要求（附件）</w:t>
      </w:r>
    </w:p>
    <w:p>
      <w:pPr>
        <w:spacing w:line="360" w:lineRule="auto"/>
        <w:rPr>
          <w:rFonts w:ascii="华文楷体" w:hAnsi="华文楷体" w:eastAsia="华文楷体" w:cs="华文楷体"/>
          <w:sz w:val="24"/>
        </w:rPr>
      </w:pPr>
      <w:r>
        <w:rPr>
          <w:rFonts w:hint="eastAsia" w:ascii="华文楷体" w:hAnsi="华文楷体" w:eastAsia="华文楷体" w:cs="华文楷体"/>
          <w:sz w:val="24"/>
        </w:rPr>
        <w:t>第六章  资格评审标准</w:t>
      </w:r>
    </w:p>
    <w:p>
      <w:pPr>
        <w:spacing w:line="360" w:lineRule="auto"/>
        <w:rPr>
          <w:rFonts w:ascii="华文楷体" w:hAnsi="华文楷体" w:eastAsia="华文楷体" w:cs="华文楷体"/>
          <w:sz w:val="24"/>
        </w:rPr>
      </w:pPr>
      <w:r>
        <w:rPr>
          <w:rFonts w:hint="eastAsia" w:ascii="华文楷体" w:hAnsi="华文楷体" w:eastAsia="华文楷体" w:cs="华文楷体"/>
          <w:sz w:val="24"/>
        </w:rPr>
        <w:t xml:space="preserve">第七章  </w:t>
      </w:r>
      <w:r>
        <w:rPr>
          <w:rFonts w:hint="eastAsia" w:ascii="华文楷体" w:hAnsi="华文楷体" w:eastAsia="华文楷体" w:cs="华文楷体"/>
          <w:sz w:val="24"/>
          <w:lang w:val="en-US" w:eastAsia="zh-CN"/>
        </w:rPr>
        <w:t>评审</w:t>
      </w:r>
      <w:r>
        <w:rPr>
          <w:rFonts w:hint="eastAsia" w:ascii="华文楷体" w:hAnsi="华文楷体" w:eastAsia="华文楷体" w:cs="华文楷体"/>
          <w:sz w:val="24"/>
        </w:rPr>
        <w:t>方法</w:t>
      </w:r>
    </w:p>
    <w:p>
      <w:pPr>
        <w:spacing w:line="360" w:lineRule="auto"/>
        <w:outlineLvl w:val="2"/>
        <w:rPr>
          <w:rFonts w:ascii="华文楷体" w:hAnsi="华文楷体" w:eastAsia="华文楷体" w:cs="华文楷体"/>
          <w:sz w:val="24"/>
        </w:rPr>
      </w:pPr>
      <w:r>
        <w:rPr>
          <w:rFonts w:hint="eastAsia" w:ascii="华文楷体" w:hAnsi="华文楷体" w:eastAsia="华文楷体" w:cs="华文楷体"/>
          <w:sz w:val="24"/>
        </w:rPr>
        <w:t xml:space="preserve">2 </w:t>
      </w:r>
      <w:r>
        <w:rPr>
          <w:rFonts w:hint="eastAsia" w:ascii="华文楷体" w:hAnsi="华文楷体" w:eastAsia="华文楷体" w:cs="华文楷体"/>
          <w:sz w:val="24"/>
          <w:lang w:eastAsia="zh-CN"/>
        </w:rPr>
        <w:t>采购</w:t>
      </w:r>
      <w:r>
        <w:rPr>
          <w:rFonts w:hint="eastAsia" w:ascii="华文楷体" w:hAnsi="华文楷体" w:eastAsia="华文楷体" w:cs="华文楷体"/>
          <w:sz w:val="24"/>
        </w:rPr>
        <w:t>文件的澄清或者修改</w:t>
      </w:r>
    </w:p>
    <w:p>
      <w:pPr>
        <w:spacing w:line="360" w:lineRule="auto"/>
        <w:rPr>
          <w:rFonts w:ascii="华文楷体" w:hAnsi="华文楷体" w:eastAsia="华文楷体" w:cs="华文楷体"/>
          <w:sz w:val="24"/>
        </w:rPr>
      </w:pPr>
      <w:r>
        <w:rPr>
          <w:rFonts w:hint="eastAsia" w:ascii="华文楷体" w:hAnsi="华文楷体" w:eastAsia="华文楷体" w:cs="华文楷体"/>
          <w:sz w:val="24"/>
        </w:rPr>
        <w:t>在</w:t>
      </w:r>
      <w:r>
        <w:rPr>
          <w:rFonts w:hint="eastAsia" w:ascii="华文楷体" w:hAnsi="华文楷体" w:eastAsia="华文楷体" w:cs="华文楷体"/>
          <w:sz w:val="24"/>
          <w:lang w:eastAsia="zh-CN"/>
        </w:rPr>
        <w:t>响应</w:t>
      </w:r>
      <w:r>
        <w:rPr>
          <w:rFonts w:hint="eastAsia" w:ascii="华文楷体" w:hAnsi="华文楷体" w:eastAsia="华文楷体" w:cs="华文楷体"/>
          <w:sz w:val="24"/>
        </w:rPr>
        <w:t>截止时间前，无论出于何种原因，采购人可主动地或在解答</w:t>
      </w:r>
      <w:r>
        <w:rPr>
          <w:rFonts w:hint="eastAsia" w:ascii="华文楷体" w:hAnsi="华文楷体" w:eastAsia="华文楷体" w:cs="华文楷体"/>
          <w:sz w:val="24"/>
          <w:lang w:eastAsia="zh-CN"/>
        </w:rPr>
        <w:t>响应人</w:t>
      </w:r>
      <w:r>
        <w:rPr>
          <w:rFonts w:hint="eastAsia" w:ascii="华文楷体" w:hAnsi="华文楷体" w:eastAsia="华文楷体" w:cs="华文楷体"/>
          <w:sz w:val="24"/>
        </w:rPr>
        <w:t>提出的澄清问题时对</w:t>
      </w:r>
      <w:r>
        <w:rPr>
          <w:rFonts w:hint="eastAsia" w:ascii="华文楷体" w:hAnsi="华文楷体" w:eastAsia="华文楷体" w:cs="华文楷体"/>
          <w:sz w:val="24"/>
          <w:lang w:eastAsia="zh-CN"/>
        </w:rPr>
        <w:t>采购</w:t>
      </w:r>
      <w:r>
        <w:rPr>
          <w:rFonts w:hint="eastAsia" w:ascii="华文楷体" w:hAnsi="华文楷体" w:eastAsia="华文楷体" w:cs="华文楷体"/>
          <w:sz w:val="24"/>
        </w:rPr>
        <w:t>文件进行修改，澄清和修改均为</w:t>
      </w:r>
      <w:r>
        <w:rPr>
          <w:rFonts w:hint="eastAsia" w:ascii="华文楷体" w:hAnsi="华文楷体" w:eastAsia="华文楷体" w:cs="华文楷体"/>
          <w:sz w:val="24"/>
          <w:lang w:eastAsia="zh-CN"/>
        </w:rPr>
        <w:t>采购</w:t>
      </w:r>
      <w:r>
        <w:rPr>
          <w:rFonts w:hint="eastAsia" w:ascii="华文楷体" w:hAnsi="华文楷体" w:eastAsia="华文楷体" w:cs="华文楷体"/>
          <w:sz w:val="24"/>
        </w:rPr>
        <w:t>文件的组成部分，当所发出的</w:t>
      </w:r>
      <w:r>
        <w:rPr>
          <w:rFonts w:hint="eastAsia" w:ascii="华文楷体" w:hAnsi="华文楷体" w:eastAsia="华文楷体" w:cs="华文楷体"/>
          <w:sz w:val="24"/>
          <w:lang w:eastAsia="zh-CN"/>
        </w:rPr>
        <w:t>采购</w:t>
      </w:r>
      <w:r>
        <w:rPr>
          <w:rFonts w:hint="eastAsia" w:ascii="华文楷体" w:hAnsi="华文楷体" w:eastAsia="华文楷体" w:cs="华文楷体"/>
          <w:sz w:val="24"/>
        </w:rPr>
        <w:t>文件澄清或修改不一致时，以最后发出的为准。采购人在</w:t>
      </w:r>
      <w:r>
        <w:rPr>
          <w:rFonts w:hint="eastAsia" w:ascii="华文楷体" w:hAnsi="华文楷体" w:eastAsia="华文楷体" w:cs="华文楷体"/>
          <w:sz w:val="24"/>
          <w:lang w:eastAsia="zh-CN"/>
        </w:rPr>
        <w:t>响应</w:t>
      </w:r>
      <w:r>
        <w:rPr>
          <w:rFonts w:hint="eastAsia" w:ascii="华文楷体" w:hAnsi="华文楷体" w:eastAsia="华文楷体" w:cs="华文楷体"/>
          <w:sz w:val="24"/>
        </w:rPr>
        <w:t>截止时间前对</w:t>
      </w:r>
      <w:r>
        <w:rPr>
          <w:rFonts w:hint="eastAsia" w:ascii="华文楷体" w:hAnsi="华文楷体" w:eastAsia="华文楷体" w:cs="华文楷体"/>
          <w:sz w:val="24"/>
          <w:lang w:eastAsia="zh-CN"/>
        </w:rPr>
        <w:t>采购</w:t>
      </w:r>
      <w:r>
        <w:rPr>
          <w:rFonts w:hint="eastAsia" w:ascii="华文楷体" w:hAnsi="华文楷体" w:eastAsia="华文楷体" w:cs="华文楷体"/>
          <w:sz w:val="24"/>
        </w:rPr>
        <w:t>文件所作的补充、修改或者更正、澄清一并构成</w:t>
      </w:r>
      <w:r>
        <w:rPr>
          <w:rFonts w:hint="eastAsia" w:ascii="华文楷体" w:hAnsi="华文楷体" w:eastAsia="华文楷体" w:cs="华文楷体"/>
          <w:sz w:val="24"/>
          <w:lang w:eastAsia="zh-CN"/>
        </w:rPr>
        <w:t>采购</w:t>
      </w:r>
      <w:r>
        <w:rPr>
          <w:rFonts w:hint="eastAsia" w:ascii="华文楷体" w:hAnsi="华文楷体" w:eastAsia="华文楷体" w:cs="华文楷体"/>
          <w:sz w:val="24"/>
        </w:rPr>
        <w:t>文件的组成部分。</w:t>
      </w:r>
      <w:r>
        <w:rPr>
          <w:rFonts w:hint="eastAsia" w:ascii="华文楷体" w:hAnsi="华文楷体" w:eastAsia="华文楷体" w:cs="华文楷体"/>
          <w:sz w:val="24"/>
          <w:lang w:eastAsia="zh-CN"/>
        </w:rPr>
        <w:t>采购</w:t>
      </w:r>
      <w:r>
        <w:rPr>
          <w:rFonts w:hint="eastAsia" w:ascii="华文楷体" w:hAnsi="华文楷体" w:eastAsia="华文楷体" w:cs="华文楷体"/>
          <w:sz w:val="24"/>
        </w:rPr>
        <w:t>文件的修改将以书面或网上公告</w:t>
      </w:r>
      <w:r>
        <w:rPr>
          <w:rFonts w:hint="eastAsia" w:ascii="华文楷体" w:hAnsi="华文楷体" w:eastAsia="华文楷体" w:cs="华文楷体"/>
          <w:sz w:val="24"/>
          <w:lang w:val="en-US" w:eastAsia="zh-CN"/>
        </w:rPr>
        <w:t>的形式</w:t>
      </w:r>
      <w:r>
        <w:rPr>
          <w:rFonts w:hint="eastAsia" w:ascii="华文楷体" w:hAnsi="华文楷体" w:eastAsia="华文楷体" w:cs="华文楷体"/>
          <w:sz w:val="24"/>
        </w:rPr>
        <w:t>通知所有报名的</w:t>
      </w:r>
      <w:r>
        <w:rPr>
          <w:rFonts w:hint="eastAsia" w:ascii="华文楷体" w:hAnsi="华文楷体" w:eastAsia="华文楷体" w:cs="华文楷体"/>
          <w:sz w:val="24"/>
          <w:lang w:eastAsia="zh-CN"/>
        </w:rPr>
        <w:t>响应人</w:t>
      </w:r>
      <w:r>
        <w:rPr>
          <w:rFonts w:hint="eastAsia" w:ascii="华文楷体" w:hAnsi="华文楷体" w:eastAsia="华文楷体" w:cs="华文楷体"/>
          <w:sz w:val="24"/>
        </w:rPr>
        <w:t>，并对其具有约束力。为使</w:t>
      </w:r>
      <w:r>
        <w:rPr>
          <w:rFonts w:hint="eastAsia" w:ascii="华文楷体" w:hAnsi="华文楷体" w:eastAsia="华文楷体" w:cs="华文楷体"/>
          <w:sz w:val="24"/>
          <w:lang w:eastAsia="zh-CN"/>
        </w:rPr>
        <w:t>响应人</w:t>
      </w:r>
      <w:r>
        <w:rPr>
          <w:rFonts w:hint="eastAsia" w:ascii="华文楷体" w:hAnsi="华文楷体" w:eastAsia="华文楷体" w:cs="华文楷体"/>
          <w:sz w:val="24"/>
        </w:rPr>
        <w:t>编写</w:t>
      </w:r>
      <w:r>
        <w:rPr>
          <w:rFonts w:hint="eastAsia" w:ascii="华文楷体" w:hAnsi="华文楷体" w:eastAsia="华文楷体" w:cs="华文楷体"/>
          <w:sz w:val="24"/>
          <w:lang w:eastAsia="zh-CN"/>
        </w:rPr>
        <w:t>响应</w:t>
      </w:r>
      <w:r>
        <w:rPr>
          <w:rFonts w:hint="eastAsia" w:ascii="华文楷体" w:hAnsi="华文楷体" w:eastAsia="华文楷体" w:cs="华文楷体"/>
          <w:sz w:val="24"/>
        </w:rPr>
        <w:t>文件时有充分时间对</w:t>
      </w:r>
      <w:r>
        <w:rPr>
          <w:rFonts w:hint="eastAsia" w:ascii="华文楷体" w:hAnsi="华文楷体" w:eastAsia="华文楷体" w:cs="华文楷体"/>
          <w:sz w:val="24"/>
          <w:lang w:eastAsia="zh-CN"/>
        </w:rPr>
        <w:t>采购</w:t>
      </w:r>
      <w:r>
        <w:rPr>
          <w:rFonts w:hint="eastAsia" w:ascii="华文楷体" w:hAnsi="华文楷体" w:eastAsia="华文楷体" w:cs="华文楷体"/>
          <w:sz w:val="24"/>
        </w:rPr>
        <w:t>文件的修改部分进行研究，采购人可以自行酌情延长</w:t>
      </w:r>
      <w:r>
        <w:rPr>
          <w:rFonts w:hint="eastAsia" w:ascii="华文楷体" w:hAnsi="华文楷体" w:eastAsia="华文楷体" w:cs="华文楷体"/>
          <w:sz w:val="24"/>
          <w:lang w:eastAsia="zh-CN"/>
        </w:rPr>
        <w:t>响应</w:t>
      </w:r>
      <w:r>
        <w:rPr>
          <w:rFonts w:hint="eastAsia" w:ascii="华文楷体" w:hAnsi="华文楷体" w:eastAsia="华文楷体" w:cs="华文楷体"/>
          <w:sz w:val="24"/>
        </w:rPr>
        <w:t>截止时间，并将此变更</w:t>
      </w:r>
      <w:r>
        <w:rPr>
          <w:rFonts w:hint="eastAsia" w:ascii="华文楷体" w:hAnsi="华文楷体" w:eastAsia="华文楷体" w:cs="华文楷体"/>
          <w:sz w:val="24"/>
          <w:lang w:val="en-US" w:eastAsia="zh-CN"/>
        </w:rPr>
        <w:t>以</w:t>
      </w:r>
      <w:r>
        <w:rPr>
          <w:rFonts w:hint="eastAsia" w:ascii="华文楷体" w:hAnsi="华文楷体" w:eastAsia="华文楷体" w:cs="华文楷体"/>
          <w:sz w:val="24"/>
        </w:rPr>
        <w:t>书面或网上公告</w:t>
      </w:r>
      <w:r>
        <w:rPr>
          <w:rFonts w:hint="eastAsia" w:ascii="华文楷体" w:hAnsi="华文楷体" w:eastAsia="华文楷体" w:cs="华文楷体"/>
          <w:sz w:val="24"/>
          <w:lang w:val="en-US" w:eastAsia="zh-CN"/>
        </w:rPr>
        <w:t>的形式</w:t>
      </w:r>
      <w:r>
        <w:rPr>
          <w:rFonts w:hint="eastAsia" w:ascii="华文楷体" w:hAnsi="华文楷体" w:eastAsia="华文楷体" w:cs="华文楷体"/>
          <w:sz w:val="24"/>
        </w:rPr>
        <w:t>通知所有报名的</w:t>
      </w:r>
      <w:r>
        <w:rPr>
          <w:rFonts w:hint="eastAsia" w:ascii="华文楷体" w:hAnsi="华文楷体" w:eastAsia="华文楷体" w:cs="华文楷体"/>
          <w:sz w:val="24"/>
          <w:lang w:eastAsia="zh-CN"/>
        </w:rPr>
        <w:t>响应人</w:t>
      </w:r>
      <w:r>
        <w:rPr>
          <w:rFonts w:hint="eastAsia" w:ascii="华文楷体" w:hAnsi="华文楷体" w:eastAsia="华文楷体" w:cs="华文楷体"/>
          <w:sz w:val="24"/>
        </w:rPr>
        <w:t>。</w:t>
      </w:r>
    </w:p>
    <w:p>
      <w:pPr>
        <w:pStyle w:val="3"/>
        <w:outlineLvl w:val="1"/>
        <w:rPr>
          <w:rFonts w:ascii="华文楷体" w:hAnsi="华文楷体" w:eastAsia="华文楷体" w:cs="华文楷体"/>
          <w:sz w:val="24"/>
        </w:rPr>
      </w:pPr>
      <w:bookmarkStart w:id="10" w:name="_Toc2042"/>
      <w:bookmarkStart w:id="11" w:name="_Toc10285"/>
      <w:r>
        <w:rPr>
          <w:rFonts w:hint="eastAsia" w:ascii="华文楷体" w:hAnsi="华文楷体" w:eastAsia="华文楷体" w:cs="华文楷体"/>
          <w:sz w:val="24"/>
        </w:rPr>
        <w:t>三、</w:t>
      </w:r>
      <w:r>
        <w:rPr>
          <w:rFonts w:hint="eastAsia" w:ascii="华文楷体" w:hAnsi="华文楷体" w:eastAsia="华文楷体" w:cs="华文楷体"/>
          <w:sz w:val="24"/>
          <w:lang w:eastAsia="zh-CN"/>
        </w:rPr>
        <w:t>响应</w:t>
      </w:r>
      <w:r>
        <w:rPr>
          <w:rFonts w:hint="eastAsia" w:ascii="华文楷体" w:hAnsi="华文楷体" w:eastAsia="华文楷体" w:cs="华文楷体"/>
          <w:sz w:val="24"/>
        </w:rPr>
        <w:t>文件</w:t>
      </w:r>
      <w:bookmarkEnd w:id="10"/>
      <w:bookmarkEnd w:id="11"/>
    </w:p>
    <w:p>
      <w:pPr>
        <w:spacing w:line="360" w:lineRule="auto"/>
        <w:outlineLvl w:val="2"/>
        <w:rPr>
          <w:rFonts w:ascii="华文楷体" w:hAnsi="华文楷体" w:eastAsia="华文楷体" w:cs="华文楷体"/>
          <w:sz w:val="24"/>
        </w:rPr>
      </w:pPr>
      <w:r>
        <w:rPr>
          <w:rFonts w:hint="eastAsia" w:ascii="华文楷体" w:hAnsi="华文楷体" w:eastAsia="华文楷体" w:cs="华文楷体"/>
          <w:sz w:val="24"/>
        </w:rPr>
        <w:t xml:space="preserve">1 </w:t>
      </w:r>
      <w:r>
        <w:rPr>
          <w:rFonts w:hint="eastAsia" w:ascii="华文楷体" w:hAnsi="华文楷体" w:eastAsia="华文楷体" w:cs="华文楷体"/>
          <w:sz w:val="24"/>
          <w:lang w:eastAsia="zh-CN"/>
        </w:rPr>
        <w:t>响应</w:t>
      </w:r>
      <w:r>
        <w:rPr>
          <w:rFonts w:hint="eastAsia" w:ascii="华文楷体" w:hAnsi="华文楷体" w:eastAsia="华文楷体" w:cs="华文楷体"/>
          <w:sz w:val="24"/>
        </w:rPr>
        <w:t>文件编写注意事项</w:t>
      </w:r>
    </w:p>
    <w:p>
      <w:pPr>
        <w:spacing w:line="360" w:lineRule="auto"/>
        <w:rPr>
          <w:rFonts w:ascii="华文楷体" w:hAnsi="华文楷体" w:eastAsia="华文楷体" w:cs="华文楷体"/>
          <w:sz w:val="24"/>
        </w:rPr>
      </w:pPr>
      <w:r>
        <w:rPr>
          <w:rFonts w:hint="eastAsia" w:ascii="华文楷体" w:hAnsi="华文楷体" w:eastAsia="华文楷体" w:cs="华文楷体"/>
          <w:sz w:val="24"/>
        </w:rPr>
        <w:t>1.1</w:t>
      </w:r>
      <w:r>
        <w:rPr>
          <w:rFonts w:hint="eastAsia" w:ascii="华文楷体" w:hAnsi="华文楷体" w:eastAsia="华文楷体" w:cs="华文楷体"/>
          <w:sz w:val="24"/>
          <w:lang w:eastAsia="zh-CN"/>
        </w:rPr>
        <w:t>响应人</w:t>
      </w:r>
      <w:r>
        <w:rPr>
          <w:rFonts w:hint="eastAsia" w:ascii="华文楷体" w:hAnsi="华文楷体" w:eastAsia="华文楷体" w:cs="华文楷体"/>
          <w:sz w:val="24"/>
        </w:rPr>
        <w:t>应仔细阅读</w:t>
      </w:r>
      <w:r>
        <w:rPr>
          <w:rFonts w:hint="eastAsia" w:ascii="华文楷体" w:hAnsi="华文楷体" w:eastAsia="华文楷体" w:cs="华文楷体"/>
          <w:sz w:val="24"/>
          <w:lang w:eastAsia="zh-CN"/>
        </w:rPr>
        <w:t>采购</w:t>
      </w:r>
      <w:r>
        <w:rPr>
          <w:rFonts w:hint="eastAsia" w:ascii="华文楷体" w:hAnsi="华文楷体" w:eastAsia="华文楷体" w:cs="华文楷体"/>
          <w:sz w:val="24"/>
        </w:rPr>
        <w:t>文件，在完全了解采购的内容、技术性能要求(详见“项目需求及技术要求”)和商务条件后，编写</w:t>
      </w:r>
      <w:r>
        <w:rPr>
          <w:rFonts w:hint="eastAsia" w:ascii="华文楷体" w:hAnsi="华文楷体" w:eastAsia="华文楷体" w:cs="华文楷体"/>
          <w:sz w:val="24"/>
          <w:lang w:eastAsia="zh-CN"/>
        </w:rPr>
        <w:t>响应</w:t>
      </w:r>
      <w:r>
        <w:rPr>
          <w:rFonts w:hint="eastAsia" w:ascii="华文楷体" w:hAnsi="华文楷体" w:eastAsia="华文楷体" w:cs="华文楷体"/>
          <w:sz w:val="24"/>
        </w:rPr>
        <w:t>文件。</w:t>
      </w:r>
      <w:r>
        <w:rPr>
          <w:rFonts w:hint="eastAsia" w:ascii="华文楷体" w:hAnsi="华文楷体" w:eastAsia="华文楷体" w:cs="华文楷体"/>
          <w:sz w:val="24"/>
          <w:lang w:eastAsia="zh-CN"/>
        </w:rPr>
        <w:t>采购</w:t>
      </w:r>
      <w:r>
        <w:rPr>
          <w:rFonts w:hint="eastAsia" w:ascii="华文楷体" w:hAnsi="华文楷体" w:eastAsia="华文楷体" w:cs="华文楷体"/>
          <w:sz w:val="24"/>
        </w:rPr>
        <w:t>文件中标注★号的条款为实质性要求和条件，</w:t>
      </w:r>
      <w:r>
        <w:rPr>
          <w:rFonts w:hint="eastAsia" w:ascii="华文楷体" w:hAnsi="华文楷体" w:eastAsia="华文楷体" w:cs="华文楷体"/>
          <w:sz w:val="24"/>
          <w:lang w:eastAsia="zh-CN"/>
        </w:rPr>
        <w:t>响应</w:t>
      </w:r>
      <w:r>
        <w:rPr>
          <w:rFonts w:hint="eastAsia" w:ascii="华文楷体" w:hAnsi="华文楷体" w:eastAsia="华文楷体" w:cs="华文楷体"/>
          <w:sz w:val="24"/>
        </w:rPr>
        <w:t>文件必须响应</w:t>
      </w:r>
      <w:r>
        <w:rPr>
          <w:rFonts w:hint="eastAsia" w:ascii="华文楷体" w:hAnsi="华文楷体" w:eastAsia="华文楷体" w:cs="华文楷体"/>
          <w:sz w:val="24"/>
          <w:lang w:eastAsia="zh-CN"/>
        </w:rPr>
        <w:t>采购</w:t>
      </w:r>
      <w:r>
        <w:rPr>
          <w:rFonts w:hint="eastAsia" w:ascii="华文楷体" w:hAnsi="华文楷体" w:eastAsia="华文楷体" w:cs="华文楷体"/>
          <w:sz w:val="24"/>
        </w:rPr>
        <w:t>文件的实质性要求和条件，不满足任何一条将导致</w:t>
      </w:r>
      <w:r>
        <w:rPr>
          <w:rFonts w:hint="eastAsia" w:ascii="华文楷体" w:hAnsi="华文楷体" w:eastAsia="华文楷体" w:cs="华文楷体"/>
          <w:sz w:val="24"/>
          <w:lang w:eastAsia="zh-CN"/>
        </w:rPr>
        <w:t>响应</w:t>
      </w:r>
      <w:r>
        <w:rPr>
          <w:rFonts w:hint="eastAsia" w:ascii="华文楷体" w:hAnsi="华文楷体" w:eastAsia="华文楷体" w:cs="华文楷体"/>
          <w:sz w:val="24"/>
        </w:rPr>
        <w:t>无效。</w:t>
      </w:r>
    </w:p>
    <w:p>
      <w:pPr>
        <w:spacing w:line="360" w:lineRule="auto"/>
        <w:rPr>
          <w:rFonts w:ascii="华文楷体" w:hAnsi="华文楷体" w:eastAsia="华文楷体" w:cs="华文楷体"/>
          <w:sz w:val="24"/>
        </w:rPr>
      </w:pPr>
      <w:r>
        <w:rPr>
          <w:rFonts w:hint="eastAsia" w:ascii="华文楷体" w:hAnsi="华文楷体" w:eastAsia="华文楷体" w:cs="华文楷体"/>
          <w:sz w:val="24"/>
        </w:rPr>
        <w:t>1.2 对</w:t>
      </w:r>
      <w:r>
        <w:rPr>
          <w:rFonts w:hint="eastAsia" w:ascii="华文楷体" w:hAnsi="华文楷体" w:eastAsia="华文楷体" w:cs="华文楷体"/>
          <w:sz w:val="24"/>
          <w:lang w:eastAsia="zh-CN"/>
        </w:rPr>
        <w:t>采购</w:t>
      </w:r>
      <w:r>
        <w:rPr>
          <w:rFonts w:hint="eastAsia" w:ascii="华文楷体" w:hAnsi="华文楷体" w:eastAsia="华文楷体" w:cs="华文楷体"/>
          <w:sz w:val="24"/>
        </w:rPr>
        <w:t>文件提出的实质性要求和条件作出响应是指：</w:t>
      </w:r>
      <w:r>
        <w:rPr>
          <w:rFonts w:hint="eastAsia" w:ascii="华文楷体" w:hAnsi="华文楷体" w:eastAsia="华文楷体" w:cs="华文楷体"/>
          <w:sz w:val="24"/>
          <w:lang w:eastAsia="zh-CN"/>
        </w:rPr>
        <w:t>响应人</w:t>
      </w:r>
      <w:r>
        <w:rPr>
          <w:rFonts w:hint="eastAsia" w:ascii="华文楷体" w:hAnsi="华文楷体" w:eastAsia="华文楷体" w:cs="华文楷体"/>
          <w:sz w:val="24"/>
        </w:rPr>
        <w:t>必须对</w:t>
      </w:r>
      <w:r>
        <w:rPr>
          <w:rFonts w:hint="eastAsia" w:ascii="华文楷体" w:hAnsi="华文楷体" w:eastAsia="华文楷体" w:cs="华文楷体"/>
          <w:sz w:val="24"/>
          <w:lang w:eastAsia="zh-CN"/>
        </w:rPr>
        <w:t>采购</w:t>
      </w:r>
      <w:r>
        <w:rPr>
          <w:rFonts w:hint="eastAsia" w:ascii="华文楷体" w:hAnsi="华文楷体" w:eastAsia="华文楷体" w:cs="华文楷体"/>
          <w:sz w:val="24"/>
        </w:rPr>
        <w:t>文件中的实质性要求和条件的内容作出满足或者优于原要求和条件的承诺，并提供相应的证明材料。</w:t>
      </w:r>
    </w:p>
    <w:p>
      <w:pPr>
        <w:spacing w:line="360" w:lineRule="auto"/>
        <w:outlineLvl w:val="2"/>
        <w:rPr>
          <w:rFonts w:hint="eastAsia" w:ascii="华文楷体" w:hAnsi="华文楷体" w:eastAsia="华文楷体" w:cs="华文楷体"/>
          <w:sz w:val="24"/>
        </w:rPr>
      </w:pPr>
      <w:r>
        <w:rPr>
          <w:rFonts w:hint="eastAsia" w:ascii="华文楷体" w:hAnsi="华文楷体" w:eastAsia="华文楷体" w:cs="华文楷体"/>
          <w:sz w:val="24"/>
        </w:rPr>
        <w:t xml:space="preserve">2 </w:t>
      </w:r>
      <w:r>
        <w:rPr>
          <w:rFonts w:hint="eastAsia" w:ascii="华文楷体" w:hAnsi="华文楷体" w:eastAsia="华文楷体" w:cs="华文楷体"/>
          <w:sz w:val="24"/>
          <w:lang w:eastAsia="zh-CN"/>
        </w:rPr>
        <w:t>响应</w:t>
      </w:r>
      <w:r>
        <w:rPr>
          <w:rFonts w:hint="eastAsia" w:ascii="华文楷体" w:hAnsi="华文楷体" w:eastAsia="华文楷体" w:cs="华文楷体"/>
          <w:sz w:val="24"/>
        </w:rPr>
        <w:t>的语言及计量单位</w:t>
      </w:r>
    </w:p>
    <w:p>
      <w:pPr>
        <w:spacing w:line="360" w:lineRule="auto"/>
        <w:rPr>
          <w:rFonts w:ascii="华文楷体" w:hAnsi="华文楷体" w:eastAsia="华文楷体" w:cs="华文楷体"/>
          <w:sz w:val="24"/>
        </w:rPr>
      </w:pPr>
      <w:r>
        <w:rPr>
          <w:rFonts w:hint="eastAsia" w:ascii="华文楷体" w:hAnsi="华文楷体" w:eastAsia="华文楷体" w:cs="华文楷体"/>
          <w:sz w:val="24"/>
        </w:rPr>
        <w:t>2.1</w:t>
      </w:r>
      <w:r>
        <w:rPr>
          <w:rFonts w:hint="eastAsia" w:ascii="华文楷体" w:hAnsi="华文楷体" w:eastAsia="华文楷体" w:cs="华文楷体"/>
          <w:sz w:val="24"/>
          <w:lang w:eastAsia="zh-CN"/>
        </w:rPr>
        <w:t>响应人</w:t>
      </w:r>
      <w:r>
        <w:rPr>
          <w:rFonts w:hint="eastAsia" w:ascii="华文楷体" w:hAnsi="华文楷体" w:eastAsia="华文楷体" w:cs="华文楷体"/>
          <w:sz w:val="24"/>
        </w:rPr>
        <w:t>的</w:t>
      </w:r>
      <w:r>
        <w:rPr>
          <w:rFonts w:hint="eastAsia" w:ascii="华文楷体" w:hAnsi="华文楷体" w:eastAsia="华文楷体" w:cs="华文楷体"/>
          <w:sz w:val="24"/>
          <w:lang w:eastAsia="zh-CN"/>
        </w:rPr>
        <w:t>响应</w:t>
      </w:r>
      <w:r>
        <w:rPr>
          <w:rFonts w:hint="eastAsia" w:ascii="华文楷体" w:hAnsi="华文楷体" w:eastAsia="华文楷体" w:cs="华文楷体"/>
          <w:sz w:val="24"/>
        </w:rPr>
        <w:t>文件统一使用中文（特别规定除外）。</w:t>
      </w:r>
    </w:p>
    <w:p>
      <w:pPr>
        <w:spacing w:line="360" w:lineRule="auto"/>
        <w:rPr>
          <w:rFonts w:ascii="华文楷体" w:hAnsi="华文楷体" w:eastAsia="华文楷体" w:cs="华文楷体"/>
          <w:sz w:val="24"/>
        </w:rPr>
      </w:pPr>
      <w:r>
        <w:rPr>
          <w:rFonts w:hint="eastAsia" w:ascii="华文楷体" w:hAnsi="华文楷体" w:eastAsia="华文楷体" w:cs="华文楷体"/>
          <w:sz w:val="24"/>
        </w:rPr>
        <w:t>2.2</w:t>
      </w:r>
      <w:r>
        <w:rPr>
          <w:rFonts w:hint="eastAsia" w:ascii="华文楷体" w:hAnsi="华文楷体" w:eastAsia="华文楷体" w:cs="华文楷体"/>
          <w:sz w:val="24"/>
          <w:lang w:eastAsia="zh-CN"/>
        </w:rPr>
        <w:t>响应</w:t>
      </w:r>
      <w:r>
        <w:rPr>
          <w:rFonts w:hint="eastAsia" w:ascii="华文楷体" w:hAnsi="华文楷体" w:eastAsia="华文楷体" w:cs="华文楷体"/>
          <w:sz w:val="24"/>
        </w:rPr>
        <w:t>文件中使用的计量单位除</w:t>
      </w:r>
      <w:r>
        <w:rPr>
          <w:rFonts w:hint="eastAsia" w:ascii="华文楷体" w:hAnsi="华文楷体" w:eastAsia="华文楷体" w:cs="华文楷体"/>
          <w:sz w:val="24"/>
          <w:lang w:eastAsia="zh-CN"/>
        </w:rPr>
        <w:t>采购</w:t>
      </w:r>
      <w:r>
        <w:rPr>
          <w:rFonts w:hint="eastAsia" w:ascii="华文楷体" w:hAnsi="华文楷体" w:eastAsia="华文楷体" w:cs="华文楷体"/>
          <w:sz w:val="24"/>
        </w:rPr>
        <w:t>文件中有特殊规定外，一律使用中国法定计量单位。</w:t>
      </w:r>
    </w:p>
    <w:p>
      <w:pPr>
        <w:spacing w:line="360" w:lineRule="auto"/>
        <w:outlineLvl w:val="2"/>
        <w:rPr>
          <w:rFonts w:hint="eastAsia" w:ascii="华文楷体" w:hAnsi="华文楷体" w:eastAsia="华文楷体" w:cs="华文楷体"/>
          <w:sz w:val="24"/>
        </w:rPr>
      </w:pPr>
      <w:r>
        <w:rPr>
          <w:rFonts w:hint="eastAsia" w:ascii="华文楷体" w:hAnsi="华文楷体" w:eastAsia="华文楷体" w:cs="华文楷体"/>
          <w:sz w:val="24"/>
        </w:rPr>
        <w:t xml:space="preserve">3 </w:t>
      </w:r>
      <w:r>
        <w:rPr>
          <w:rFonts w:hint="eastAsia" w:ascii="华文楷体" w:hAnsi="华文楷体" w:eastAsia="华文楷体" w:cs="华文楷体"/>
          <w:sz w:val="24"/>
          <w:lang w:eastAsia="zh-CN"/>
        </w:rPr>
        <w:t>响应</w:t>
      </w:r>
      <w:r>
        <w:rPr>
          <w:rFonts w:hint="eastAsia" w:ascii="华文楷体" w:hAnsi="华文楷体" w:eastAsia="华文楷体" w:cs="华文楷体"/>
          <w:sz w:val="24"/>
        </w:rPr>
        <w:t>文件构成（格式）</w:t>
      </w:r>
    </w:p>
    <w:p>
      <w:pPr>
        <w:spacing w:line="360" w:lineRule="auto"/>
        <w:rPr>
          <w:rFonts w:ascii="华文楷体" w:hAnsi="华文楷体" w:eastAsia="华文楷体" w:cs="华文楷体"/>
          <w:sz w:val="24"/>
        </w:rPr>
      </w:pPr>
      <w:r>
        <w:rPr>
          <w:rFonts w:hint="eastAsia" w:ascii="华文楷体" w:hAnsi="华文楷体" w:eastAsia="华文楷体" w:cs="华文楷体"/>
          <w:sz w:val="24"/>
        </w:rPr>
        <w:t>见附件。</w:t>
      </w:r>
    </w:p>
    <w:p>
      <w:pPr>
        <w:spacing w:line="360" w:lineRule="auto"/>
        <w:outlineLvl w:val="2"/>
        <w:rPr>
          <w:rFonts w:hint="eastAsia" w:ascii="华文楷体" w:hAnsi="华文楷体" w:eastAsia="华文楷体" w:cs="华文楷体"/>
          <w:sz w:val="24"/>
        </w:rPr>
      </w:pPr>
      <w:r>
        <w:rPr>
          <w:rFonts w:hint="eastAsia" w:ascii="华文楷体" w:hAnsi="华文楷体" w:eastAsia="华文楷体" w:cs="华文楷体"/>
          <w:sz w:val="24"/>
        </w:rPr>
        <w:t xml:space="preserve">4 </w:t>
      </w:r>
      <w:r>
        <w:rPr>
          <w:rFonts w:hint="eastAsia" w:ascii="华文楷体" w:hAnsi="华文楷体" w:eastAsia="华文楷体" w:cs="华文楷体"/>
          <w:sz w:val="24"/>
          <w:lang w:eastAsia="zh-CN"/>
        </w:rPr>
        <w:t>响应</w:t>
      </w:r>
      <w:r>
        <w:rPr>
          <w:rFonts w:hint="eastAsia" w:ascii="华文楷体" w:hAnsi="华文楷体" w:eastAsia="华文楷体" w:cs="华文楷体"/>
          <w:sz w:val="24"/>
        </w:rPr>
        <w:t>报价</w:t>
      </w:r>
    </w:p>
    <w:p>
      <w:pPr>
        <w:spacing w:line="360" w:lineRule="auto"/>
        <w:rPr>
          <w:rFonts w:ascii="华文楷体" w:hAnsi="华文楷体" w:eastAsia="华文楷体" w:cs="华文楷体"/>
          <w:sz w:val="24"/>
        </w:rPr>
      </w:pPr>
      <w:r>
        <w:rPr>
          <w:rFonts w:ascii="华文楷体" w:hAnsi="华文楷体" w:eastAsia="华文楷体" w:cs="华文楷体"/>
          <w:sz w:val="24"/>
        </w:rPr>
        <w:t>★</w:t>
      </w:r>
      <w:r>
        <w:rPr>
          <w:rFonts w:hint="eastAsia" w:ascii="华文楷体" w:hAnsi="华文楷体" w:eastAsia="华文楷体" w:cs="华文楷体"/>
          <w:sz w:val="24"/>
        </w:rPr>
        <w:t>4.</w:t>
      </w:r>
      <w:r>
        <w:rPr>
          <w:rFonts w:ascii="华文楷体" w:hAnsi="华文楷体" w:eastAsia="华文楷体" w:cs="华文楷体"/>
          <w:sz w:val="24"/>
        </w:rPr>
        <w:t>1本项目预算金额及最高限价见</w:t>
      </w:r>
      <w:r>
        <w:rPr>
          <w:rFonts w:hint="eastAsia" w:ascii="华文楷体" w:hAnsi="华文楷体" w:eastAsia="华文楷体" w:cs="华文楷体"/>
          <w:sz w:val="24"/>
          <w:lang w:eastAsia="zh-CN"/>
        </w:rPr>
        <w:t>采购</w:t>
      </w:r>
      <w:r>
        <w:rPr>
          <w:rFonts w:hint="eastAsia" w:ascii="华文楷体" w:hAnsi="华文楷体" w:eastAsia="华文楷体" w:cs="华文楷体"/>
          <w:sz w:val="24"/>
        </w:rPr>
        <w:t>公告</w:t>
      </w:r>
      <w:r>
        <w:rPr>
          <w:rFonts w:ascii="华文楷体" w:hAnsi="华文楷体" w:eastAsia="华文楷体" w:cs="华文楷体"/>
          <w:sz w:val="24"/>
        </w:rPr>
        <w:t>，</w:t>
      </w:r>
      <w:r>
        <w:rPr>
          <w:rFonts w:ascii="华文楷体" w:hAnsi="华文楷体" w:eastAsia="华文楷体" w:cs="华文楷体"/>
          <w:b/>
          <w:bCs/>
          <w:sz w:val="24"/>
        </w:rPr>
        <w:t>若</w:t>
      </w:r>
      <w:r>
        <w:rPr>
          <w:rFonts w:hint="eastAsia" w:ascii="华文楷体" w:hAnsi="华文楷体" w:eastAsia="华文楷体" w:cs="华文楷体"/>
          <w:b/>
          <w:bCs/>
          <w:sz w:val="24"/>
          <w:lang w:eastAsia="zh-CN"/>
        </w:rPr>
        <w:t>响应人</w:t>
      </w:r>
      <w:r>
        <w:rPr>
          <w:rFonts w:ascii="华文楷体" w:hAnsi="华文楷体" w:eastAsia="华文楷体" w:cs="华文楷体"/>
          <w:b/>
          <w:bCs/>
          <w:sz w:val="24"/>
        </w:rPr>
        <w:t>的</w:t>
      </w:r>
      <w:r>
        <w:rPr>
          <w:rFonts w:hint="eastAsia" w:ascii="华文楷体" w:hAnsi="华文楷体" w:eastAsia="华文楷体" w:cs="华文楷体"/>
          <w:b/>
          <w:bCs/>
          <w:sz w:val="24"/>
          <w:lang w:eastAsia="zh-CN"/>
        </w:rPr>
        <w:t>响应</w:t>
      </w:r>
      <w:r>
        <w:rPr>
          <w:rFonts w:ascii="华文楷体" w:hAnsi="华文楷体" w:eastAsia="华文楷体" w:cs="华文楷体"/>
          <w:b/>
          <w:bCs/>
          <w:sz w:val="24"/>
        </w:rPr>
        <w:t>报价超过最高限价</w:t>
      </w:r>
      <w:r>
        <w:rPr>
          <w:rFonts w:hint="eastAsia" w:ascii="华文楷体" w:hAnsi="华文楷体" w:eastAsia="华文楷体" w:cs="华文楷体"/>
          <w:b/>
          <w:bCs/>
          <w:sz w:val="24"/>
        </w:rPr>
        <w:t>/预算价</w:t>
      </w:r>
      <w:r>
        <w:rPr>
          <w:rFonts w:ascii="华文楷体" w:hAnsi="华文楷体" w:eastAsia="华文楷体" w:cs="华文楷体"/>
          <w:b/>
          <w:bCs/>
          <w:sz w:val="24"/>
        </w:rPr>
        <w:t>，按</w:t>
      </w:r>
      <w:r>
        <w:rPr>
          <w:rFonts w:hint="eastAsia" w:ascii="华文楷体" w:hAnsi="华文楷体" w:eastAsia="华文楷体" w:cs="华文楷体"/>
          <w:b/>
          <w:bCs/>
          <w:sz w:val="24"/>
          <w:lang w:val="en-US" w:eastAsia="zh-CN"/>
        </w:rPr>
        <w:t>无效</w:t>
      </w:r>
      <w:r>
        <w:rPr>
          <w:rFonts w:ascii="华文楷体" w:hAnsi="华文楷体" w:eastAsia="华文楷体" w:cs="华文楷体"/>
          <w:b/>
          <w:bCs/>
          <w:sz w:val="24"/>
        </w:rPr>
        <w:t>响应</w:t>
      </w:r>
      <w:r>
        <w:rPr>
          <w:rFonts w:hint="eastAsia" w:ascii="华文楷体" w:hAnsi="华文楷体" w:eastAsia="华文楷体" w:cs="华文楷体"/>
          <w:b/>
          <w:bCs/>
          <w:sz w:val="24"/>
          <w:lang w:eastAsia="zh-CN"/>
        </w:rPr>
        <w:t>采购</w:t>
      </w:r>
      <w:r>
        <w:rPr>
          <w:rFonts w:ascii="华文楷体" w:hAnsi="华文楷体" w:eastAsia="华文楷体" w:cs="华文楷体"/>
          <w:b/>
          <w:bCs/>
          <w:sz w:val="24"/>
        </w:rPr>
        <w:t>文件要求处理。</w:t>
      </w:r>
    </w:p>
    <w:p>
      <w:pPr>
        <w:spacing w:line="360" w:lineRule="auto"/>
        <w:rPr>
          <w:rFonts w:ascii="华文楷体" w:hAnsi="华文楷体" w:eastAsia="华文楷体" w:cs="华文楷体"/>
          <w:sz w:val="24"/>
        </w:rPr>
      </w:pPr>
      <w:r>
        <w:rPr>
          <w:rFonts w:hint="eastAsia" w:ascii="华文楷体" w:hAnsi="华文楷体" w:eastAsia="华文楷体" w:cs="华文楷体"/>
          <w:sz w:val="24"/>
        </w:rPr>
        <w:t>4</w:t>
      </w:r>
      <w:r>
        <w:rPr>
          <w:rFonts w:ascii="华文楷体" w:hAnsi="华文楷体" w:eastAsia="华文楷体" w:cs="华文楷体"/>
          <w:sz w:val="24"/>
        </w:rPr>
        <w:t>.2</w:t>
      </w:r>
      <w:r>
        <w:rPr>
          <w:rFonts w:hint="eastAsia" w:ascii="华文楷体" w:hAnsi="华文楷体" w:eastAsia="华文楷体" w:cs="华文楷体"/>
          <w:sz w:val="24"/>
          <w:lang w:eastAsia="zh-CN"/>
        </w:rPr>
        <w:t>响应人</w:t>
      </w:r>
      <w:r>
        <w:rPr>
          <w:rFonts w:ascii="华文楷体" w:hAnsi="华文楷体" w:eastAsia="华文楷体" w:cs="华文楷体"/>
          <w:sz w:val="24"/>
        </w:rPr>
        <w:t>须就“项目需求及技术要求”中的</w:t>
      </w:r>
      <w:r>
        <w:rPr>
          <w:rFonts w:hint="eastAsia" w:ascii="华文楷体" w:hAnsi="华文楷体" w:eastAsia="华文楷体" w:cs="华文楷体"/>
          <w:sz w:val="24"/>
          <w:lang w:val="en-US" w:eastAsia="zh-CN"/>
        </w:rPr>
        <w:t>全部品规</w:t>
      </w:r>
      <w:r>
        <w:rPr>
          <w:rFonts w:ascii="华文楷体" w:hAnsi="华文楷体" w:eastAsia="华文楷体" w:cs="华文楷体"/>
          <w:sz w:val="24"/>
        </w:rPr>
        <w:t>作完整唯一报价。</w:t>
      </w:r>
    </w:p>
    <w:p>
      <w:pPr>
        <w:spacing w:line="360" w:lineRule="auto"/>
        <w:rPr>
          <w:rFonts w:ascii="华文楷体" w:hAnsi="华文楷体" w:eastAsia="华文楷体" w:cs="华文楷体"/>
          <w:sz w:val="24"/>
        </w:rPr>
      </w:pPr>
      <w:r>
        <w:rPr>
          <w:rFonts w:hint="eastAsia" w:ascii="华文楷体" w:hAnsi="华文楷体" w:eastAsia="华文楷体" w:cs="华文楷体"/>
          <w:sz w:val="24"/>
        </w:rPr>
        <w:t>4.3</w:t>
      </w:r>
      <w:r>
        <w:rPr>
          <w:rFonts w:hint="eastAsia" w:ascii="华文楷体" w:hAnsi="华文楷体" w:eastAsia="华文楷体" w:cs="华文楷体"/>
          <w:sz w:val="24"/>
          <w:lang w:eastAsia="zh-CN"/>
        </w:rPr>
        <w:t>响应</w:t>
      </w:r>
      <w:r>
        <w:rPr>
          <w:rFonts w:ascii="华文楷体" w:hAnsi="华文楷体" w:eastAsia="华文楷体" w:cs="华文楷体"/>
          <w:sz w:val="24"/>
        </w:rPr>
        <w:t>以人民币报价。</w:t>
      </w:r>
    </w:p>
    <w:p>
      <w:pPr>
        <w:spacing w:line="360" w:lineRule="auto"/>
        <w:outlineLvl w:val="2"/>
        <w:rPr>
          <w:rFonts w:hint="eastAsia" w:ascii="华文楷体" w:hAnsi="华文楷体" w:eastAsia="华文楷体" w:cs="华文楷体"/>
          <w:sz w:val="24"/>
        </w:rPr>
      </w:pPr>
      <w:r>
        <w:rPr>
          <w:rFonts w:hint="eastAsia" w:ascii="华文楷体" w:hAnsi="华文楷体" w:eastAsia="华文楷体" w:cs="华文楷体"/>
          <w:sz w:val="24"/>
        </w:rPr>
        <w:t>5</w:t>
      </w:r>
      <w:r>
        <w:rPr>
          <w:rFonts w:hint="eastAsia" w:ascii="华文楷体" w:hAnsi="华文楷体" w:eastAsia="华文楷体" w:cs="华文楷体"/>
          <w:sz w:val="24"/>
          <w:lang w:eastAsia="zh-CN"/>
        </w:rPr>
        <w:t>响应</w:t>
      </w:r>
      <w:r>
        <w:rPr>
          <w:rFonts w:hint="eastAsia" w:ascii="华文楷体" w:hAnsi="华文楷体" w:eastAsia="华文楷体" w:cs="华文楷体"/>
          <w:sz w:val="24"/>
        </w:rPr>
        <w:t>文件应尽量避免涂改、行间插字或删除。如果出现上述情况，改动之处应加盖单位章或由</w:t>
      </w:r>
      <w:r>
        <w:rPr>
          <w:rFonts w:hint="eastAsia" w:ascii="华文楷体" w:hAnsi="华文楷体" w:eastAsia="华文楷体" w:cs="华文楷体"/>
          <w:sz w:val="24"/>
          <w:lang w:eastAsia="zh-CN"/>
        </w:rPr>
        <w:t>响应人</w:t>
      </w:r>
      <w:r>
        <w:rPr>
          <w:rFonts w:hint="eastAsia" w:ascii="华文楷体" w:hAnsi="华文楷体" w:eastAsia="华文楷体" w:cs="华文楷体"/>
          <w:sz w:val="24"/>
        </w:rPr>
        <w:t>的法定代表人（签名或盖章）确认。</w:t>
      </w:r>
    </w:p>
    <w:p>
      <w:pPr>
        <w:spacing w:line="360" w:lineRule="auto"/>
        <w:outlineLvl w:val="2"/>
        <w:rPr>
          <w:rFonts w:hint="eastAsia" w:ascii="华文楷体" w:hAnsi="华文楷体" w:eastAsia="华文楷体" w:cs="华文楷体"/>
          <w:sz w:val="24"/>
        </w:rPr>
      </w:pPr>
      <w:r>
        <w:rPr>
          <w:rFonts w:hint="eastAsia" w:ascii="华文楷体" w:hAnsi="华文楷体" w:eastAsia="华文楷体" w:cs="华文楷体"/>
          <w:sz w:val="24"/>
        </w:rPr>
        <w:t>★6关键内容字迹潦草、表达不清、未按要求填写而导致非唯一理解，视为未实质性响应</w:t>
      </w:r>
      <w:r>
        <w:rPr>
          <w:rFonts w:hint="eastAsia" w:ascii="华文楷体" w:hAnsi="华文楷体" w:eastAsia="华文楷体" w:cs="华文楷体"/>
          <w:sz w:val="24"/>
          <w:lang w:eastAsia="zh-CN"/>
        </w:rPr>
        <w:t>采购</w:t>
      </w:r>
      <w:r>
        <w:rPr>
          <w:rFonts w:hint="eastAsia" w:ascii="华文楷体" w:hAnsi="华文楷体" w:eastAsia="华文楷体" w:cs="华文楷体"/>
          <w:sz w:val="24"/>
        </w:rPr>
        <w:t>文件的</w:t>
      </w:r>
      <w:r>
        <w:rPr>
          <w:rFonts w:hint="eastAsia" w:ascii="华文楷体" w:hAnsi="华文楷体" w:eastAsia="华文楷体" w:cs="华文楷体"/>
          <w:sz w:val="24"/>
          <w:lang w:eastAsia="zh-CN"/>
        </w:rPr>
        <w:t>响应</w:t>
      </w:r>
      <w:r>
        <w:rPr>
          <w:rFonts w:hint="eastAsia" w:ascii="华文楷体" w:hAnsi="华文楷体" w:eastAsia="华文楷体" w:cs="华文楷体"/>
          <w:sz w:val="24"/>
        </w:rPr>
        <w:t>文件。</w:t>
      </w:r>
    </w:p>
    <w:p>
      <w:pPr>
        <w:spacing w:line="360" w:lineRule="auto"/>
        <w:outlineLvl w:val="2"/>
        <w:rPr>
          <w:rFonts w:hint="eastAsia" w:ascii="华文楷体" w:hAnsi="华文楷体" w:eastAsia="华文楷体" w:cs="华文楷体"/>
          <w:sz w:val="24"/>
        </w:rPr>
      </w:pPr>
      <w:r>
        <w:rPr>
          <w:rFonts w:hint="eastAsia" w:ascii="华文楷体" w:hAnsi="华文楷体" w:eastAsia="华文楷体" w:cs="华文楷体"/>
          <w:sz w:val="24"/>
        </w:rPr>
        <w:t>7</w:t>
      </w:r>
      <w:r>
        <w:rPr>
          <w:rFonts w:hint="eastAsia" w:ascii="华文楷体" w:hAnsi="华文楷体" w:eastAsia="华文楷体" w:cs="华文楷体"/>
          <w:sz w:val="24"/>
          <w:lang w:eastAsia="zh-CN"/>
        </w:rPr>
        <w:t>响应</w:t>
      </w:r>
      <w:r>
        <w:rPr>
          <w:rFonts w:hint="eastAsia" w:ascii="华文楷体" w:hAnsi="华文楷体" w:eastAsia="华文楷体" w:cs="华文楷体"/>
          <w:sz w:val="24"/>
        </w:rPr>
        <w:t>文件中提供的资料（扫描件），内容必须清晰可辨，若内容模糊，无法辨识，均视为未提供。</w:t>
      </w:r>
    </w:p>
    <w:p>
      <w:pPr>
        <w:spacing w:line="360" w:lineRule="auto"/>
        <w:outlineLvl w:val="2"/>
        <w:rPr>
          <w:rFonts w:hint="eastAsia" w:ascii="华文楷体" w:hAnsi="华文楷体" w:eastAsia="华文楷体" w:cs="华文楷体"/>
          <w:sz w:val="24"/>
        </w:rPr>
      </w:pPr>
      <w:r>
        <w:rPr>
          <w:rFonts w:hint="eastAsia" w:ascii="华文楷体" w:hAnsi="华文楷体" w:eastAsia="华文楷体" w:cs="华文楷体"/>
          <w:sz w:val="24"/>
        </w:rPr>
        <w:t>★8</w:t>
      </w:r>
      <w:r>
        <w:rPr>
          <w:rFonts w:hint="eastAsia" w:ascii="华文楷体" w:hAnsi="华文楷体" w:eastAsia="华文楷体" w:cs="华文楷体"/>
          <w:sz w:val="24"/>
          <w:lang w:eastAsia="zh-CN"/>
        </w:rPr>
        <w:t>响应</w:t>
      </w:r>
      <w:r>
        <w:rPr>
          <w:rFonts w:hint="eastAsia" w:ascii="华文楷体" w:hAnsi="华文楷体" w:eastAsia="华文楷体" w:cs="华文楷体"/>
          <w:sz w:val="24"/>
        </w:rPr>
        <w:t>文件中对</w:t>
      </w:r>
      <w:r>
        <w:rPr>
          <w:rFonts w:hint="eastAsia" w:ascii="华文楷体" w:hAnsi="华文楷体" w:eastAsia="华文楷体" w:cs="华文楷体"/>
          <w:sz w:val="24"/>
          <w:lang w:eastAsia="zh-CN"/>
        </w:rPr>
        <w:t>采购</w:t>
      </w:r>
      <w:r>
        <w:rPr>
          <w:rFonts w:hint="eastAsia" w:ascii="华文楷体" w:hAnsi="华文楷体" w:eastAsia="华文楷体" w:cs="华文楷体"/>
          <w:sz w:val="24"/>
        </w:rPr>
        <w:t>文件商务条款及技术要求的应答出现完全或绝大部分复制</w:t>
      </w:r>
      <w:r>
        <w:rPr>
          <w:rFonts w:hint="eastAsia" w:ascii="华文楷体" w:hAnsi="华文楷体" w:eastAsia="华文楷体" w:cs="华文楷体"/>
          <w:sz w:val="24"/>
          <w:lang w:eastAsia="zh-CN"/>
        </w:rPr>
        <w:t>采购</w:t>
      </w:r>
      <w:r>
        <w:rPr>
          <w:rFonts w:hint="eastAsia" w:ascii="华文楷体" w:hAnsi="华文楷体" w:eastAsia="华文楷体" w:cs="华文楷体"/>
          <w:sz w:val="24"/>
        </w:rPr>
        <w:t>文件要求的，视为未实质性响应</w:t>
      </w:r>
      <w:r>
        <w:rPr>
          <w:rFonts w:hint="eastAsia" w:ascii="华文楷体" w:hAnsi="华文楷体" w:eastAsia="华文楷体" w:cs="华文楷体"/>
          <w:sz w:val="24"/>
          <w:lang w:eastAsia="zh-CN"/>
        </w:rPr>
        <w:t>采购</w:t>
      </w:r>
      <w:r>
        <w:rPr>
          <w:rFonts w:hint="eastAsia" w:ascii="华文楷体" w:hAnsi="华文楷体" w:eastAsia="华文楷体" w:cs="华文楷体"/>
          <w:sz w:val="24"/>
        </w:rPr>
        <w:t>文件的</w:t>
      </w:r>
      <w:r>
        <w:rPr>
          <w:rFonts w:hint="eastAsia" w:ascii="华文楷体" w:hAnsi="华文楷体" w:eastAsia="华文楷体" w:cs="华文楷体"/>
          <w:sz w:val="24"/>
          <w:lang w:eastAsia="zh-CN"/>
        </w:rPr>
        <w:t>响应</w:t>
      </w:r>
      <w:r>
        <w:rPr>
          <w:rFonts w:hint="eastAsia" w:ascii="华文楷体" w:hAnsi="华文楷体" w:eastAsia="华文楷体" w:cs="华文楷体"/>
          <w:sz w:val="24"/>
        </w:rPr>
        <w:t>文件。</w:t>
      </w:r>
    </w:p>
    <w:p>
      <w:pPr>
        <w:pStyle w:val="3"/>
        <w:outlineLvl w:val="1"/>
        <w:rPr>
          <w:rFonts w:ascii="华文楷体" w:hAnsi="华文楷体" w:eastAsia="华文楷体" w:cs="华文楷体"/>
          <w:sz w:val="24"/>
        </w:rPr>
      </w:pPr>
      <w:bookmarkStart w:id="12" w:name="_Toc29234"/>
      <w:bookmarkStart w:id="13" w:name="_Toc11145"/>
      <w:r>
        <w:rPr>
          <w:rFonts w:hint="eastAsia" w:ascii="华文楷体" w:hAnsi="华文楷体" w:eastAsia="华文楷体" w:cs="华文楷体"/>
          <w:sz w:val="24"/>
        </w:rPr>
        <w:t>四、响应文件递交</w:t>
      </w:r>
      <w:bookmarkEnd w:id="12"/>
      <w:bookmarkEnd w:id="13"/>
    </w:p>
    <w:p>
      <w:pPr>
        <w:rPr>
          <w:rFonts w:ascii="华文楷体" w:hAnsi="华文楷体" w:eastAsia="华文楷体" w:cs="华文楷体"/>
          <w:sz w:val="24"/>
        </w:rPr>
      </w:pPr>
      <w:r>
        <w:rPr>
          <w:rFonts w:hint="eastAsia" w:ascii="华文楷体" w:hAnsi="华文楷体" w:eastAsia="华文楷体" w:cs="华文楷体"/>
          <w:sz w:val="24"/>
          <w:lang w:val="en-US" w:eastAsia="zh-CN"/>
        </w:rPr>
        <w:t>采购</w:t>
      </w:r>
      <w:r>
        <w:rPr>
          <w:rFonts w:hint="eastAsia" w:ascii="华文楷体" w:hAnsi="华文楷体" w:eastAsia="华文楷体" w:cs="华文楷体"/>
          <w:sz w:val="24"/>
        </w:rPr>
        <w:t>现场提交响应文件</w:t>
      </w:r>
      <w:r>
        <w:rPr>
          <w:rFonts w:hint="eastAsia" w:ascii="华文楷体" w:hAnsi="华文楷体" w:eastAsia="华文楷体" w:cs="华文楷体"/>
          <w:sz w:val="24"/>
          <w:lang w:val="en-US" w:eastAsia="zh-CN"/>
        </w:rPr>
        <w:t>的电子版和纸质版</w:t>
      </w:r>
      <w:r>
        <w:rPr>
          <w:rFonts w:hint="eastAsia" w:ascii="华文楷体" w:hAnsi="华文楷体" w:eastAsia="华文楷体" w:cs="华文楷体"/>
          <w:sz w:val="24"/>
        </w:rPr>
        <w:t>。</w:t>
      </w:r>
    </w:p>
    <w:p>
      <w:pPr>
        <w:pStyle w:val="3"/>
        <w:outlineLvl w:val="1"/>
        <w:rPr>
          <w:rFonts w:hint="eastAsia" w:ascii="华文楷体" w:hAnsi="华文楷体" w:eastAsia="华文楷体" w:cs="华文楷体"/>
          <w:sz w:val="24"/>
          <w:lang w:eastAsia="zh-CN"/>
        </w:rPr>
      </w:pPr>
      <w:bookmarkStart w:id="14" w:name="_Toc1969"/>
      <w:bookmarkStart w:id="15" w:name="_Toc27320"/>
      <w:r>
        <w:rPr>
          <w:rFonts w:hint="eastAsia" w:ascii="华文楷体" w:hAnsi="华文楷体" w:eastAsia="华文楷体" w:cs="华文楷体"/>
          <w:sz w:val="24"/>
        </w:rPr>
        <w:t>五、</w:t>
      </w:r>
      <w:r>
        <w:rPr>
          <w:rFonts w:hint="eastAsia" w:ascii="华文楷体" w:hAnsi="华文楷体" w:eastAsia="华文楷体" w:cs="华文楷体"/>
          <w:sz w:val="24"/>
          <w:lang w:eastAsia="zh-CN"/>
        </w:rPr>
        <w:t>评审</w:t>
      </w:r>
      <w:bookmarkEnd w:id="14"/>
      <w:bookmarkEnd w:id="15"/>
    </w:p>
    <w:p>
      <w:pPr>
        <w:spacing w:line="360" w:lineRule="auto"/>
        <w:outlineLvl w:val="2"/>
        <w:rPr>
          <w:rFonts w:hint="eastAsia" w:ascii="华文楷体" w:hAnsi="华文楷体" w:eastAsia="华文楷体" w:cs="华文楷体"/>
          <w:sz w:val="24"/>
        </w:rPr>
      </w:pPr>
      <w:r>
        <w:rPr>
          <w:rFonts w:hint="eastAsia" w:ascii="华文楷体" w:hAnsi="华文楷体" w:eastAsia="华文楷体" w:cs="华文楷体"/>
          <w:sz w:val="24"/>
        </w:rPr>
        <w:t>1评审专家组</w:t>
      </w:r>
    </w:p>
    <w:p>
      <w:pPr>
        <w:spacing w:line="360" w:lineRule="auto"/>
        <w:rPr>
          <w:rFonts w:ascii="华文楷体" w:hAnsi="华文楷体" w:eastAsia="华文楷体" w:cs="华文楷体"/>
          <w:sz w:val="24"/>
        </w:rPr>
      </w:pPr>
      <w:r>
        <w:rPr>
          <w:rFonts w:hint="eastAsia" w:ascii="华文楷体" w:hAnsi="华文楷体" w:eastAsia="华文楷体" w:cs="华文楷体"/>
          <w:sz w:val="24"/>
          <w:lang w:val="en-US" w:eastAsia="zh-CN"/>
        </w:rPr>
        <w:t>院内5</w:t>
      </w:r>
      <w:r>
        <w:rPr>
          <w:rFonts w:hint="eastAsia" w:ascii="华文楷体" w:hAnsi="华文楷体" w:eastAsia="华文楷体" w:cs="华文楷体"/>
          <w:sz w:val="24"/>
        </w:rPr>
        <w:t>人及以上专家组成。</w:t>
      </w:r>
    </w:p>
    <w:p>
      <w:pPr>
        <w:spacing w:line="360" w:lineRule="auto"/>
        <w:outlineLvl w:val="2"/>
        <w:rPr>
          <w:rFonts w:hint="eastAsia" w:ascii="华文楷体" w:hAnsi="华文楷体" w:eastAsia="华文楷体" w:cs="华文楷体"/>
          <w:sz w:val="24"/>
        </w:rPr>
      </w:pPr>
      <w:r>
        <w:rPr>
          <w:rFonts w:hint="eastAsia" w:ascii="华文楷体" w:hAnsi="华文楷体" w:eastAsia="华文楷体" w:cs="华文楷体"/>
          <w:sz w:val="24"/>
        </w:rPr>
        <w:t>2</w:t>
      </w:r>
      <w:r>
        <w:rPr>
          <w:rFonts w:hint="eastAsia" w:ascii="华文楷体" w:hAnsi="华文楷体" w:eastAsia="华文楷体" w:cs="华文楷体"/>
          <w:sz w:val="24"/>
          <w:lang w:eastAsia="zh-CN"/>
        </w:rPr>
        <w:t>评审</w:t>
      </w:r>
      <w:r>
        <w:rPr>
          <w:rFonts w:hint="eastAsia" w:ascii="华文楷体" w:hAnsi="华文楷体" w:eastAsia="华文楷体" w:cs="华文楷体"/>
          <w:sz w:val="24"/>
        </w:rPr>
        <w:t>方法</w:t>
      </w:r>
    </w:p>
    <w:p>
      <w:pPr>
        <w:spacing w:line="360" w:lineRule="auto"/>
        <w:rPr>
          <w:rFonts w:ascii="华文楷体" w:hAnsi="华文楷体" w:eastAsia="华文楷体" w:cs="华文楷体"/>
          <w:sz w:val="24"/>
        </w:rPr>
      </w:pPr>
      <w:r>
        <w:rPr>
          <w:rFonts w:hint="eastAsia" w:ascii="华文楷体" w:hAnsi="华文楷体" w:eastAsia="华文楷体" w:cs="华文楷体"/>
          <w:sz w:val="24"/>
        </w:rPr>
        <w:t>综合评分法。</w:t>
      </w:r>
    </w:p>
    <w:p>
      <w:pPr>
        <w:spacing w:line="360" w:lineRule="auto"/>
        <w:outlineLvl w:val="2"/>
        <w:rPr>
          <w:rFonts w:hint="eastAsia" w:ascii="华文楷体" w:hAnsi="华文楷体" w:eastAsia="华文楷体" w:cs="华文楷体"/>
          <w:sz w:val="24"/>
        </w:rPr>
      </w:pPr>
      <w:r>
        <w:rPr>
          <w:rFonts w:hint="eastAsia" w:ascii="华文楷体" w:hAnsi="华文楷体" w:eastAsia="华文楷体" w:cs="华文楷体"/>
          <w:sz w:val="24"/>
        </w:rPr>
        <w:t>★3有下列情形之一的，视为</w:t>
      </w:r>
      <w:r>
        <w:rPr>
          <w:rFonts w:hint="eastAsia" w:ascii="华文楷体" w:hAnsi="华文楷体" w:eastAsia="华文楷体" w:cs="华文楷体"/>
          <w:sz w:val="24"/>
          <w:lang w:eastAsia="zh-CN"/>
        </w:rPr>
        <w:t>响应人</w:t>
      </w:r>
      <w:r>
        <w:rPr>
          <w:rFonts w:hint="eastAsia" w:ascii="华文楷体" w:hAnsi="华文楷体" w:eastAsia="华文楷体" w:cs="华文楷体"/>
          <w:sz w:val="24"/>
        </w:rPr>
        <w:t>串通</w:t>
      </w:r>
      <w:r>
        <w:rPr>
          <w:rFonts w:hint="eastAsia" w:ascii="华文楷体" w:hAnsi="华文楷体" w:eastAsia="华文楷体" w:cs="华文楷体"/>
          <w:sz w:val="24"/>
          <w:lang w:eastAsia="zh-CN"/>
        </w:rPr>
        <w:t>响应</w:t>
      </w:r>
      <w:r>
        <w:rPr>
          <w:rFonts w:hint="eastAsia" w:ascii="华文楷体" w:hAnsi="华文楷体" w:eastAsia="华文楷体" w:cs="华文楷体"/>
          <w:sz w:val="24"/>
        </w:rPr>
        <w:t>，其</w:t>
      </w:r>
      <w:r>
        <w:rPr>
          <w:rFonts w:hint="eastAsia" w:ascii="华文楷体" w:hAnsi="华文楷体" w:eastAsia="华文楷体" w:cs="华文楷体"/>
          <w:sz w:val="24"/>
          <w:lang w:eastAsia="zh-CN"/>
        </w:rPr>
        <w:t>响应</w:t>
      </w:r>
      <w:r>
        <w:rPr>
          <w:rFonts w:hint="eastAsia" w:ascii="华文楷体" w:hAnsi="华文楷体" w:eastAsia="华文楷体" w:cs="华文楷体"/>
          <w:sz w:val="24"/>
        </w:rPr>
        <w:t>无效：</w:t>
      </w:r>
    </w:p>
    <w:p>
      <w:pPr>
        <w:spacing w:line="360" w:lineRule="auto"/>
        <w:rPr>
          <w:rFonts w:ascii="华文楷体" w:hAnsi="华文楷体" w:eastAsia="华文楷体" w:cs="华文楷体"/>
          <w:sz w:val="24"/>
        </w:rPr>
      </w:pPr>
      <w:r>
        <w:rPr>
          <w:rFonts w:hint="eastAsia" w:ascii="华文楷体" w:hAnsi="华文楷体" w:eastAsia="华文楷体" w:cs="华文楷体"/>
          <w:sz w:val="24"/>
          <w:lang w:val="en-US" w:eastAsia="zh-CN"/>
        </w:rPr>
        <w:t>3.1</w:t>
      </w:r>
      <w:r>
        <w:rPr>
          <w:rFonts w:ascii="华文楷体" w:hAnsi="华文楷体" w:eastAsia="华文楷体" w:cs="华文楷体"/>
          <w:sz w:val="24"/>
        </w:rPr>
        <w:t>不同</w:t>
      </w:r>
      <w:r>
        <w:rPr>
          <w:rFonts w:hint="eastAsia" w:ascii="华文楷体" w:hAnsi="华文楷体" w:eastAsia="华文楷体" w:cs="华文楷体"/>
          <w:sz w:val="24"/>
          <w:lang w:eastAsia="zh-CN"/>
        </w:rPr>
        <w:t>响应人</w:t>
      </w:r>
      <w:r>
        <w:rPr>
          <w:rFonts w:ascii="华文楷体" w:hAnsi="华文楷体" w:eastAsia="华文楷体" w:cs="华文楷体"/>
          <w:sz w:val="24"/>
        </w:rPr>
        <w:t>的</w:t>
      </w:r>
      <w:r>
        <w:rPr>
          <w:rFonts w:hint="eastAsia" w:ascii="华文楷体" w:hAnsi="华文楷体" w:eastAsia="华文楷体" w:cs="华文楷体"/>
          <w:sz w:val="24"/>
          <w:lang w:eastAsia="zh-CN"/>
        </w:rPr>
        <w:t>响应</w:t>
      </w:r>
      <w:r>
        <w:rPr>
          <w:rFonts w:ascii="华文楷体" w:hAnsi="华文楷体" w:eastAsia="华文楷体" w:cs="华文楷体"/>
          <w:sz w:val="24"/>
        </w:rPr>
        <w:t>文件由同一单位或者个人编制；</w:t>
      </w:r>
    </w:p>
    <w:p>
      <w:pPr>
        <w:spacing w:line="360" w:lineRule="auto"/>
        <w:rPr>
          <w:rFonts w:ascii="华文楷体" w:hAnsi="华文楷体" w:eastAsia="华文楷体" w:cs="华文楷体"/>
          <w:sz w:val="24"/>
        </w:rPr>
      </w:pPr>
      <w:r>
        <w:rPr>
          <w:rFonts w:hint="eastAsia" w:ascii="华文楷体" w:hAnsi="华文楷体" w:eastAsia="华文楷体" w:cs="华文楷体"/>
          <w:sz w:val="24"/>
          <w:lang w:val="en-US" w:eastAsia="zh-CN"/>
        </w:rPr>
        <w:t>3.2</w:t>
      </w:r>
      <w:r>
        <w:rPr>
          <w:rFonts w:ascii="华文楷体" w:hAnsi="华文楷体" w:eastAsia="华文楷体" w:cs="华文楷体"/>
          <w:sz w:val="24"/>
        </w:rPr>
        <w:t>不同</w:t>
      </w:r>
      <w:r>
        <w:rPr>
          <w:rFonts w:hint="eastAsia" w:ascii="华文楷体" w:hAnsi="华文楷体" w:eastAsia="华文楷体" w:cs="华文楷体"/>
          <w:sz w:val="24"/>
          <w:lang w:eastAsia="zh-CN"/>
        </w:rPr>
        <w:t>响应人</w:t>
      </w:r>
      <w:r>
        <w:rPr>
          <w:rFonts w:ascii="华文楷体" w:hAnsi="华文楷体" w:eastAsia="华文楷体" w:cs="华文楷体"/>
          <w:sz w:val="24"/>
        </w:rPr>
        <w:t>委托同一单位或者个人办理</w:t>
      </w:r>
      <w:r>
        <w:rPr>
          <w:rFonts w:hint="eastAsia" w:ascii="华文楷体" w:hAnsi="华文楷体" w:eastAsia="华文楷体" w:cs="华文楷体"/>
          <w:sz w:val="24"/>
          <w:lang w:eastAsia="zh-CN"/>
        </w:rPr>
        <w:t>响应</w:t>
      </w:r>
      <w:r>
        <w:rPr>
          <w:rFonts w:ascii="华文楷体" w:hAnsi="华文楷体" w:eastAsia="华文楷体" w:cs="华文楷体"/>
          <w:sz w:val="24"/>
        </w:rPr>
        <w:t>事宜；</w:t>
      </w:r>
    </w:p>
    <w:p>
      <w:pPr>
        <w:spacing w:line="360" w:lineRule="auto"/>
        <w:rPr>
          <w:rFonts w:ascii="华文楷体" w:hAnsi="华文楷体" w:eastAsia="华文楷体" w:cs="华文楷体"/>
          <w:sz w:val="24"/>
        </w:rPr>
      </w:pPr>
      <w:r>
        <w:rPr>
          <w:rFonts w:hint="eastAsia" w:ascii="华文楷体" w:hAnsi="华文楷体" w:eastAsia="华文楷体" w:cs="华文楷体"/>
          <w:sz w:val="24"/>
          <w:lang w:val="en-US" w:eastAsia="zh-CN"/>
        </w:rPr>
        <w:t>3.3</w:t>
      </w:r>
      <w:r>
        <w:rPr>
          <w:rFonts w:ascii="华文楷体" w:hAnsi="华文楷体" w:eastAsia="华文楷体" w:cs="华文楷体"/>
          <w:sz w:val="24"/>
        </w:rPr>
        <w:t>不同</w:t>
      </w:r>
      <w:r>
        <w:rPr>
          <w:rFonts w:hint="eastAsia" w:ascii="华文楷体" w:hAnsi="华文楷体" w:eastAsia="华文楷体" w:cs="华文楷体"/>
          <w:sz w:val="24"/>
          <w:lang w:eastAsia="zh-CN"/>
        </w:rPr>
        <w:t>响应人</w:t>
      </w:r>
      <w:r>
        <w:rPr>
          <w:rFonts w:ascii="华文楷体" w:hAnsi="华文楷体" w:eastAsia="华文楷体" w:cs="华文楷体"/>
          <w:sz w:val="24"/>
        </w:rPr>
        <w:t>的</w:t>
      </w:r>
      <w:r>
        <w:rPr>
          <w:rFonts w:hint="eastAsia" w:ascii="华文楷体" w:hAnsi="华文楷体" w:eastAsia="华文楷体" w:cs="华文楷体"/>
          <w:sz w:val="24"/>
          <w:lang w:eastAsia="zh-CN"/>
        </w:rPr>
        <w:t>响应</w:t>
      </w:r>
      <w:r>
        <w:rPr>
          <w:rFonts w:ascii="华文楷体" w:hAnsi="华文楷体" w:eastAsia="华文楷体" w:cs="华文楷体"/>
          <w:sz w:val="24"/>
        </w:rPr>
        <w:t>文件载明的项目管理成员或者联系人员为同一人；</w:t>
      </w:r>
    </w:p>
    <w:p>
      <w:pPr>
        <w:spacing w:line="360" w:lineRule="auto"/>
        <w:rPr>
          <w:rFonts w:ascii="华文楷体" w:hAnsi="华文楷体" w:eastAsia="华文楷体" w:cs="华文楷体"/>
          <w:sz w:val="24"/>
        </w:rPr>
      </w:pPr>
      <w:r>
        <w:rPr>
          <w:rFonts w:hint="eastAsia" w:ascii="华文楷体" w:hAnsi="华文楷体" w:eastAsia="华文楷体" w:cs="华文楷体"/>
          <w:sz w:val="24"/>
          <w:lang w:val="en-US" w:eastAsia="zh-CN"/>
        </w:rPr>
        <w:t>3.4</w:t>
      </w:r>
      <w:r>
        <w:rPr>
          <w:rFonts w:ascii="华文楷体" w:hAnsi="华文楷体" w:eastAsia="华文楷体" w:cs="华文楷体"/>
          <w:sz w:val="24"/>
        </w:rPr>
        <w:t>不同</w:t>
      </w:r>
      <w:r>
        <w:rPr>
          <w:rFonts w:hint="eastAsia" w:ascii="华文楷体" w:hAnsi="华文楷体" w:eastAsia="华文楷体" w:cs="华文楷体"/>
          <w:sz w:val="24"/>
          <w:lang w:eastAsia="zh-CN"/>
        </w:rPr>
        <w:t>响应人</w:t>
      </w:r>
      <w:r>
        <w:rPr>
          <w:rFonts w:ascii="华文楷体" w:hAnsi="华文楷体" w:eastAsia="华文楷体" w:cs="华文楷体"/>
          <w:sz w:val="24"/>
        </w:rPr>
        <w:t>的</w:t>
      </w:r>
      <w:r>
        <w:rPr>
          <w:rFonts w:hint="eastAsia" w:ascii="华文楷体" w:hAnsi="华文楷体" w:eastAsia="华文楷体" w:cs="华文楷体"/>
          <w:sz w:val="24"/>
          <w:lang w:eastAsia="zh-CN"/>
        </w:rPr>
        <w:t>响应</w:t>
      </w:r>
      <w:r>
        <w:rPr>
          <w:rFonts w:ascii="华文楷体" w:hAnsi="华文楷体" w:eastAsia="华文楷体" w:cs="华文楷体"/>
          <w:sz w:val="24"/>
        </w:rPr>
        <w:t>文件异常一致或者</w:t>
      </w:r>
      <w:r>
        <w:rPr>
          <w:rFonts w:hint="eastAsia" w:ascii="华文楷体" w:hAnsi="华文楷体" w:eastAsia="华文楷体" w:cs="华文楷体"/>
          <w:sz w:val="24"/>
          <w:lang w:eastAsia="zh-CN"/>
        </w:rPr>
        <w:t>响应</w:t>
      </w:r>
      <w:r>
        <w:rPr>
          <w:rFonts w:ascii="华文楷体" w:hAnsi="华文楷体" w:eastAsia="华文楷体" w:cs="华文楷体"/>
          <w:sz w:val="24"/>
        </w:rPr>
        <w:t>报价呈规律性差异；</w:t>
      </w:r>
    </w:p>
    <w:p>
      <w:pPr>
        <w:spacing w:line="360" w:lineRule="auto"/>
        <w:rPr>
          <w:rFonts w:hint="eastAsia" w:ascii="华文楷体" w:hAnsi="华文楷体" w:eastAsia="华文楷体" w:cs="华文楷体"/>
          <w:sz w:val="24"/>
          <w:lang w:eastAsia="zh-CN"/>
        </w:rPr>
      </w:pPr>
      <w:r>
        <w:rPr>
          <w:rFonts w:hint="eastAsia" w:ascii="华文楷体" w:hAnsi="华文楷体" w:eastAsia="华文楷体" w:cs="华文楷体"/>
          <w:sz w:val="24"/>
          <w:lang w:val="en-US" w:eastAsia="zh-CN"/>
        </w:rPr>
        <w:t>3.5</w:t>
      </w:r>
      <w:r>
        <w:rPr>
          <w:rFonts w:ascii="华文楷体" w:hAnsi="华文楷体" w:eastAsia="华文楷体" w:cs="华文楷体"/>
          <w:sz w:val="24"/>
        </w:rPr>
        <w:t>不同</w:t>
      </w:r>
      <w:r>
        <w:rPr>
          <w:rFonts w:hint="eastAsia" w:ascii="华文楷体" w:hAnsi="华文楷体" w:eastAsia="华文楷体" w:cs="华文楷体"/>
          <w:sz w:val="24"/>
          <w:lang w:eastAsia="zh-CN"/>
        </w:rPr>
        <w:t>响应人</w:t>
      </w:r>
      <w:r>
        <w:rPr>
          <w:rFonts w:ascii="华文楷体" w:hAnsi="华文楷体" w:eastAsia="华文楷体" w:cs="华文楷体"/>
          <w:sz w:val="24"/>
        </w:rPr>
        <w:t>的</w:t>
      </w:r>
      <w:r>
        <w:rPr>
          <w:rFonts w:hint="eastAsia" w:ascii="华文楷体" w:hAnsi="华文楷体" w:eastAsia="华文楷体" w:cs="华文楷体"/>
          <w:sz w:val="24"/>
          <w:lang w:eastAsia="zh-CN"/>
        </w:rPr>
        <w:t>响应</w:t>
      </w:r>
      <w:r>
        <w:rPr>
          <w:rFonts w:ascii="华文楷体" w:hAnsi="华文楷体" w:eastAsia="华文楷体" w:cs="华文楷体"/>
          <w:sz w:val="24"/>
        </w:rPr>
        <w:t>文件相互混装</w:t>
      </w:r>
      <w:r>
        <w:rPr>
          <w:rFonts w:hint="eastAsia" w:ascii="华文楷体" w:hAnsi="华文楷体" w:eastAsia="华文楷体" w:cs="华文楷体"/>
          <w:sz w:val="24"/>
          <w:lang w:eastAsia="zh-CN"/>
        </w:rPr>
        <w:t>。</w:t>
      </w:r>
    </w:p>
    <w:p>
      <w:pPr>
        <w:spacing w:line="360" w:lineRule="auto"/>
        <w:outlineLvl w:val="2"/>
        <w:rPr>
          <w:rFonts w:hint="eastAsia" w:ascii="华文楷体" w:hAnsi="华文楷体" w:eastAsia="华文楷体" w:cs="华文楷体"/>
          <w:sz w:val="24"/>
        </w:rPr>
      </w:pPr>
      <w:r>
        <w:rPr>
          <w:rFonts w:hint="eastAsia" w:ascii="华文楷体" w:hAnsi="华文楷体" w:eastAsia="华文楷体" w:cs="华文楷体"/>
          <w:sz w:val="24"/>
        </w:rPr>
        <w:t>4提供相同品牌产品且通过资格审查、符合性审查的不同</w:t>
      </w:r>
      <w:r>
        <w:rPr>
          <w:rFonts w:hint="eastAsia" w:ascii="华文楷体" w:hAnsi="华文楷体" w:eastAsia="华文楷体" w:cs="华文楷体"/>
          <w:sz w:val="24"/>
          <w:lang w:eastAsia="zh-CN"/>
        </w:rPr>
        <w:t>响应人</w:t>
      </w:r>
      <w:r>
        <w:rPr>
          <w:rFonts w:hint="eastAsia" w:ascii="华文楷体" w:hAnsi="华文楷体" w:eastAsia="华文楷体" w:cs="华文楷体"/>
          <w:sz w:val="24"/>
        </w:rPr>
        <w:t>参加同一</w:t>
      </w:r>
      <w:r>
        <w:rPr>
          <w:rFonts w:hint="eastAsia" w:ascii="华文楷体" w:hAnsi="华文楷体" w:eastAsia="华文楷体" w:cs="华文楷体"/>
          <w:sz w:val="24"/>
          <w:lang w:eastAsia="zh-CN"/>
        </w:rPr>
        <w:t>采购</w:t>
      </w:r>
      <w:r>
        <w:rPr>
          <w:rFonts w:hint="eastAsia" w:ascii="华文楷体" w:hAnsi="华文楷体" w:eastAsia="华文楷体" w:cs="华文楷体"/>
          <w:sz w:val="24"/>
        </w:rPr>
        <w:t>项目包</w:t>
      </w:r>
      <w:r>
        <w:rPr>
          <w:rFonts w:hint="eastAsia" w:ascii="华文楷体" w:hAnsi="华文楷体" w:eastAsia="华文楷体" w:cs="华文楷体"/>
          <w:sz w:val="24"/>
          <w:lang w:eastAsia="zh-CN"/>
        </w:rPr>
        <w:t>响应</w:t>
      </w:r>
      <w:r>
        <w:rPr>
          <w:rFonts w:hint="eastAsia" w:ascii="华文楷体" w:hAnsi="华文楷体" w:eastAsia="华文楷体" w:cs="华文楷体"/>
          <w:sz w:val="24"/>
        </w:rPr>
        <w:t>的，按一家</w:t>
      </w:r>
      <w:r>
        <w:rPr>
          <w:rFonts w:hint="eastAsia" w:ascii="华文楷体" w:hAnsi="华文楷体" w:eastAsia="华文楷体" w:cs="华文楷体"/>
          <w:sz w:val="24"/>
          <w:lang w:eastAsia="zh-CN"/>
        </w:rPr>
        <w:t>响应人</w:t>
      </w:r>
      <w:r>
        <w:rPr>
          <w:rFonts w:hint="eastAsia" w:ascii="华文楷体" w:hAnsi="华文楷体" w:eastAsia="华文楷体" w:cs="华文楷体"/>
          <w:sz w:val="24"/>
        </w:rPr>
        <w:t>计算，评审后得分最高的同品牌</w:t>
      </w:r>
      <w:r>
        <w:rPr>
          <w:rFonts w:hint="eastAsia" w:ascii="华文楷体" w:hAnsi="华文楷体" w:eastAsia="华文楷体" w:cs="华文楷体"/>
          <w:sz w:val="24"/>
          <w:lang w:eastAsia="zh-CN"/>
        </w:rPr>
        <w:t>响应人</w:t>
      </w:r>
      <w:r>
        <w:rPr>
          <w:rFonts w:hint="eastAsia" w:ascii="华文楷体" w:hAnsi="华文楷体" w:eastAsia="华文楷体" w:cs="华文楷体"/>
          <w:sz w:val="24"/>
        </w:rPr>
        <w:t>获得中标人推荐资格。</w:t>
      </w:r>
    </w:p>
    <w:p>
      <w:pPr>
        <w:spacing w:line="360" w:lineRule="auto"/>
        <w:outlineLvl w:val="2"/>
        <w:rPr>
          <w:rFonts w:hint="eastAsia" w:ascii="华文楷体" w:hAnsi="华文楷体" w:eastAsia="华文楷体" w:cs="华文楷体"/>
          <w:sz w:val="24"/>
        </w:rPr>
      </w:pPr>
      <w:r>
        <w:rPr>
          <w:rFonts w:hint="eastAsia" w:ascii="华文楷体" w:hAnsi="华文楷体" w:eastAsia="华文楷体" w:cs="华文楷体"/>
          <w:sz w:val="24"/>
          <w:lang w:val="en-US" w:eastAsia="zh-CN"/>
        </w:rPr>
        <w:t>5</w:t>
      </w:r>
      <w:r>
        <w:rPr>
          <w:rFonts w:hint="eastAsia" w:ascii="华文楷体" w:hAnsi="华文楷体" w:eastAsia="华文楷体" w:cs="华文楷体"/>
          <w:sz w:val="24"/>
        </w:rPr>
        <w:t>在</w:t>
      </w:r>
      <w:r>
        <w:rPr>
          <w:rFonts w:hint="eastAsia" w:ascii="华文楷体" w:hAnsi="华文楷体" w:eastAsia="华文楷体" w:cs="华文楷体"/>
          <w:sz w:val="24"/>
          <w:lang w:eastAsia="zh-CN"/>
        </w:rPr>
        <w:t>采购</w:t>
      </w:r>
      <w:r>
        <w:rPr>
          <w:rFonts w:hint="eastAsia" w:ascii="华文楷体" w:hAnsi="华文楷体" w:eastAsia="华文楷体" w:cs="华文楷体"/>
          <w:sz w:val="24"/>
        </w:rPr>
        <w:t>中，出现下列情形之一的，应予废标：</w:t>
      </w:r>
    </w:p>
    <w:p>
      <w:pPr>
        <w:spacing w:line="360" w:lineRule="auto"/>
        <w:rPr>
          <w:rFonts w:ascii="华文楷体" w:hAnsi="华文楷体" w:eastAsia="华文楷体" w:cs="华文楷体"/>
          <w:sz w:val="24"/>
        </w:rPr>
      </w:pPr>
      <w:r>
        <w:rPr>
          <w:rFonts w:hint="eastAsia" w:ascii="华文楷体" w:hAnsi="华文楷体" w:eastAsia="华文楷体" w:cs="华文楷体"/>
          <w:sz w:val="24"/>
          <w:lang w:val="en-US" w:eastAsia="zh-CN"/>
        </w:rPr>
        <w:t>5.1对采购文件作实质响应的响应人不足3家的</w:t>
      </w:r>
      <w:r>
        <w:rPr>
          <w:rFonts w:ascii="华文楷体" w:hAnsi="华文楷体" w:eastAsia="华文楷体" w:cs="华文楷体"/>
          <w:sz w:val="24"/>
        </w:rPr>
        <w:t>；</w:t>
      </w:r>
    </w:p>
    <w:p>
      <w:pPr>
        <w:spacing w:line="360" w:lineRule="auto"/>
        <w:rPr>
          <w:rFonts w:ascii="华文楷体" w:hAnsi="华文楷体" w:eastAsia="华文楷体" w:cs="华文楷体"/>
          <w:sz w:val="24"/>
        </w:rPr>
      </w:pPr>
      <w:r>
        <w:rPr>
          <w:rFonts w:hint="eastAsia" w:ascii="华文楷体" w:hAnsi="华文楷体" w:eastAsia="华文楷体" w:cs="华文楷体"/>
          <w:sz w:val="24"/>
          <w:lang w:val="en-US" w:eastAsia="zh-CN"/>
        </w:rPr>
        <w:t>5.2</w:t>
      </w:r>
      <w:r>
        <w:rPr>
          <w:rFonts w:ascii="华文楷体" w:hAnsi="华文楷体" w:eastAsia="华文楷体" w:cs="华文楷体"/>
          <w:sz w:val="24"/>
        </w:rPr>
        <w:t>出现影响采购公正的违法、违规行为的；</w:t>
      </w:r>
    </w:p>
    <w:p>
      <w:pPr>
        <w:spacing w:line="360" w:lineRule="auto"/>
        <w:rPr>
          <w:rFonts w:ascii="华文楷体" w:hAnsi="华文楷体" w:eastAsia="华文楷体" w:cs="华文楷体"/>
          <w:sz w:val="24"/>
        </w:rPr>
      </w:pPr>
      <w:r>
        <w:rPr>
          <w:rFonts w:hint="eastAsia" w:ascii="华文楷体" w:hAnsi="华文楷体" w:eastAsia="华文楷体" w:cs="华文楷体"/>
          <w:sz w:val="24"/>
          <w:lang w:val="en-US" w:eastAsia="zh-CN"/>
        </w:rPr>
        <w:t>5.3</w:t>
      </w:r>
      <w:r>
        <w:rPr>
          <w:rFonts w:hint="eastAsia" w:ascii="华文楷体" w:hAnsi="华文楷体" w:eastAsia="华文楷体" w:cs="华文楷体"/>
          <w:sz w:val="24"/>
          <w:lang w:eastAsia="zh-CN"/>
        </w:rPr>
        <w:t>响应人</w:t>
      </w:r>
      <w:r>
        <w:rPr>
          <w:rFonts w:ascii="华文楷体" w:hAnsi="华文楷体" w:eastAsia="华文楷体" w:cs="华文楷体"/>
          <w:sz w:val="24"/>
        </w:rPr>
        <w:t>的报价均超过了采购</w:t>
      </w:r>
      <w:r>
        <w:rPr>
          <w:rFonts w:hint="eastAsia" w:ascii="华文楷体" w:hAnsi="华文楷体" w:eastAsia="华文楷体" w:cs="华文楷体"/>
          <w:sz w:val="24"/>
          <w:lang w:val="en-US" w:eastAsia="zh-CN"/>
        </w:rPr>
        <w:t>最高限价</w:t>
      </w:r>
      <w:r>
        <w:rPr>
          <w:rFonts w:ascii="华文楷体" w:hAnsi="华文楷体" w:eastAsia="华文楷体" w:cs="华文楷体"/>
          <w:sz w:val="24"/>
        </w:rPr>
        <w:t>，采购人不能支付的；</w:t>
      </w:r>
    </w:p>
    <w:p>
      <w:pPr>
        <w:spacing w:line="360" w:lineRule="auto"/>
        <w:rPr>
          <w:rFonts w:ascii="华文楷体" w:hAnsi="华文楷体" w:eastAsia="华文楷体" w:cs="华文楷体"/>
          <w:sz w:val="24"/>
        </w:rPr>
      </w:pPr>
      <w:r>
        <w:rPr>
          <w:rFonts w:hint="eastAsia" w:ascii="华文楷体" w:hAnsi="华文楷体" w:eastAsia="华文楷体" w:cs="华文楷体"/>
          <w:sz w:val="24"/>
          <w:lang w:val="en-US" w:eastAsia="zh-CN"/>
        </w:rPr>
        <w:t>5.4</w:t>
      </w:r>
      <w:r>
        <w:rPr>
          <w:rFonts w:ascii="华文楷体" w:hAnsi="华文楷体" w:eastAsia="华文楷体" w:cs="华文楷体"/>
          <w:sz w:val="24"/>
        </w:rPr>
        <w:t>因重大变故</w:t>
      </w:r>
      <w:r>
        <w:rPr>
          <w:rFonts w:hint="eastAsia" w:ascii="华文楷体" w:hAnsi="华文楷体" w:eastAsia="华文楷体" w:cs="华文楷体"/>
          <w:sz w:val="24"/>
          <w:lang w:val="en-US" w:eastAsia="zh-CN"/>
        </w:rPr>
        <w:t>、政策原因或其它不可抗原因</w:t>
      </w:r>
      <w:r>
        <w:rPr>
          <w:rFonts w:ascii="华文楷体" w:hAnsi="华文楷体" w:eastAsia="华文楷体" w:cs="华文楷体"/>
          <w:sz w:val="24"/>
        </w:rPr>
        <w:t>，采购任务取消的。</w:t>
      </w:r>
    </w:p>
    <w:p>
      <w:pPr>
        <w:pStyle w:val="3"/>
        <w:outlineLvl w:val="1"/>
        <w:rPr>
          <w:rFonts w:ascii="华文楷体" w:hAnsi="华文楷体" w:eastAsia="华文楷体" w:cs="华文楷体"/>
          <w:sz w:val="24"/>
        </w:rPr>
      </w:pPr>
      <w:bookmarkStart w:id="16" w:name="_Toc15977"/>
      <w:bookmarkStart w:id="17" w:name="_Toc20886"/>
      <w:r>
        <w:rPr>
          <w:rFonts w:hint="eastAsia" w:ascii="华文楷体" w:hAnsi="华文楷体" w:eastAsia="华文楷体" w:cs="华文楷体"/>
          <w:sz w:val="24"/>
        </w:rPr>
        <w:t>六、中标结果</w:t>
      </w:r>
      <w:bookmarkEnd w:id="16"/>
      <w:bookmarkEnd w:id="17"/>
    </w:p>
    <w:p>
      <w:pPr>
        <w:rPr>
          <w:rFonts w:ascii="华文楷体" w:hAnsi="华文楷体" w:eastAsia="华文楷体" w:cs="华文楷体"/>
          <w:sz w:val="24"/>
        </w:rPr>
      </w:pPr>
      <w:r>
        <w:rPr>
          <w:rFonts w:hint="eastAsia" w:ascii="华文楷体" w:hAnsi="华文楷体" w:eastAsia="华文楷体" w:cs="华文楷体"/>
          <w:sz w:val="24"/>
        </w:rPr>
        <w:t>中标结果</w:t>
      </w:r>
      <w:r>
        <w:rPr>
          <w:rFonts w:hint="eastAsia" w:ascii="华文楷体" w:hAnsi="华文楷体" w:eastAsia="华文楷体" w:cs="华文楷体"/>
          <w:sz w:val="24"/>
          <w:lang w:val="en-US" w:eastAsia="zh-CN"/>
        </w:rPr>
        <w:t>在昆明医科大学第二附属医院官网公示，公示期为3个工作日</w:t>
      </w:r>
      <w:r>
        <w:rPr>
          <w:rFonts w:hint="eastAsia" w:ascii="华文楷体" w:hAnsi="华文楷体" w:eastAsia="华文楷体" w:cs="华文楷体"/>
          <w:b/>
          <w:bCs/>
          <w:sz w:val="24"/>
        </w:rPr>
        <w:t>。</w:t>
      </w:r>
    </w:p>
    <w:p>
      <w:pPr>
        <w:pStyle w:val="2"/>
        <w:outlineLvl w:val="0"/>
        <w:rPr>
          <w:rFonts w:ascii="方正楷体_GBK" w:hAnsi="方正楷体_GBK" w:eastAsia="方正楷体_GBK" w:cs="方正楷体_GBK"/>
          <w:sz w:val="28"/>
          <w:szCs w:val="22"/>
        </w:rPr>
      </w:pPr>
      <w:bookmarkStart w:id="18" w:name="_Toc28465"/>
      <w:bookmarkStart w:id="19" w:name="_Toc6548"/>
      <w:r>
        <w:rPr>
          <w:rFonts w:ascii="方正楷体_GBK" w:hAnsi="方正楷体_GBK" w:eastAsia="方正楷体_GBK" w:cs="方正楷体_GBK"/>
          <w:sz w:val="28"/>
          <w:szCs w:val="22"/>
        </w:rPr>
        <w:t>第三章 合同书样式及主要条款</w:t>
      </w:r>
      <w:bookmarkEnd w:id="18"/>
      <w:bookmarkEnd w:id="19"/>
    </w:p>
    <w:p>
      <w:pPr>
        <w:rPr>
          <w:rFonts w:ascii="华文楷体" w:hAnsi="华文楷体" w:eastAsia="华文楷体" w:cs="华文楷体"/>
          <w:sz w:val="24"/>
        </w:rPr>
      </w:pPr>
      <w:r>
        <w:rPr>
          <w:rFonts w:ascii="华文楷体" w:hAnsi="华文楷体" w:eastAsia="华文楷体" w:cs="华文楷体"/>
          <w:sz w:val="24"/>
        </w:rPr>
        <w:t>合同格式以中标人与采购人最终协商确定的合同格式为准。</w:t>
      </w:r>
    </w:p>
    <w:p>
      <w:pPr>
        <w:pStyle w:val="2"/>
        <w:outlineLvl w:val="0"/>
        <w:rPr>
          <w:rFonts w:ascii="方正楷体_GBK" w:hAnsi="方正楷体_GBK" w:eastAsia="方正楷体_GBK" w:cs="方正楷体_GBK"/>
          <w:sz w:val="28"/>
          <w:szCs w:val="22"/>
        </w:rPr>
      </w:pPr>
      <w:bookmarkStart w:id="20" w:name="_Toc6987"/>
      <w:bookmarkStart w:id="21" w:name="_Toc8561"/>
      <w:r>
        <w:rPr>
          <w:rFonts w:ascii="方正楷体_GBK" w:hAnsi="方正楷体_GBK" w:eastAsia="方正楷体_GBK" w:cs="方正楷体_GBK"/>
          <w:sz w:val="28"/>
          <w:szCs w:val="22"/>
        </w:rPr>
        <w:t xml:space="preserve">第四章  </w:t>
      </w:r>
      <w:r>
        <w:rPr>
          <w:rFonts w:hint="eastAsia" w:ascii="方正楷体_GBK" w:hAnsi="方正楷体_GBK" w:eastAsia="方正楷体_GBK" w:cs="方正楷体_GBK"/>
          <w:sz w:val="28"/>
          <w:szCs w:val="22"/>
          <w:lang w:eastAsia="zh-CN"/>
        </w:rPr>
        <w:t>响应</w:t>
      </w:r>
      <w:r>
        <w:rPr>
          <w:rFonts w:ascii="方正楷体_GBK" w:hAnsi="方正楷体_GBK" w:eastAsia="方正楷体_GBK" w:cs="方正楷体_GBK"/>
          <w:sz w:val="28"/>
          <w:szCs w:val="22"/>
        </w:rPr>
        <w:t>文件格式</w:t>
      </w:r>
      <w:r>
        <w:rPr>
          <w:rFonts w:hint="eastAsia" w:ascii="方正楷体_GBK" w:hAnsi="方正楷体_GBK" w:eastAsia="方正楷体_GBK" w:cs="方正楷体_GBK"/>
          <w:sz w:val="28"/>
          <w:szCs w:val="22"/>
        </w:rPr>
        <w:t>（见第一章“采购公告</w:t>
      </w:r>
      <w:r>
        <w:rPr>
          <w:rFonts w:hint="eastAsia" w:ascii="方正楷体_GBK" w:hAnsi="方正楷体_GBK" w:eastAsia="方正楷体_GBK" w:cs="方正楷体_GBK"/>
          <w:sz w:val="28"/>
          <w:szCs w:val="22"/>
          <w:lang w:val="en-US" w:eastAsia="zh-CN"/>
        </w:rPr>
        <w:t>附件2</w:t>
      </w:r>
      <w:r>
        <w:rPr>
          <w:rFonts w:hint="eastAsia" w:ascii="方正楷体_GBK" w:hAnsi="方正楷体_GBK" w:eastAsia="方正楷体_GBK" w:cs="方正楷体_GBK"/>
          <w:sz w:val="28"/>
          <w:szCs w:val="22"/>
        </w:rPr>
        <w:t>”）</w:t>
      </w:r>
      <w:bookmarkEnd w:id="20"/>
      <w:bookmarkEnd w:id="21"/>
    </w:p>
    <w:p>
      <w:pPr>
        <w:pStyle w:val="2"/>
        <w:outlineLvl w:val="0"/>
        <w:rPr>
          <w:rFonts w:ascii="方正楷体_GBK" w:hAnsi="方正楷体_GBK" w:eastAsia="方正楷体_GBK" w:cs="方正楷体_GBK"/>
          <w:sz w:val="28"/>
          <w:szCs w:val="22"/>
        </w:rPr>
      </w:pPr>
      <w:bookmarkStart w:id="22" w:name="_Toc9322"/>
      <w:bookmarkStart w:id="23" w:name="_Toc26863"/>
      <w:r>
        <w:rPr>
          <w:rFonts w:ascii="方正楷体_GBK" w:hAnsi="方正楷体_GBK" w:eastAsia="方正楷体_GBK" w:cs="方正楷体_GBK"/>
          <w:sz w:val="28"/>
          <w:szCs w:val="22"/>
        </w:rPr>
        <w:t>第五章  项目需求及技术要求</w:t>
      </w:r>
      <w:r>
        <w:rPr>
          <w:rFonts w:hint="eastAsia" w:ascii="方正楷体_GBK" w:hAnsi="方正楷体_GBK" w:eastAsia="方正楷体_GBK" w:cs="方正楷体_GBK"/>
          <w:sz w:val="28"/>
          <w:szCs w:val="22"/>
        </w:rPr>
        <w:t>（见第一章“采购公告”）</w:t>
      </w:r>
      <w:bookmarkEnd w:id="22"/>
      <w:bookmarkEnd w:id="23"/>
    </w:p>
    <w:p>
      <w:pPr>
        <w:rPr>
          <w:b/>
          <w:sz w:val="28"/>
          <w:szCs w:val="22"/>
        </w:rPr>
      </w:pPr>
    </w:p>
    <w:p>
      <w:pPr>
        <w:rPr>
          <w:b/>
          <w:sz w:val="28"/>
          <w:szCs w:val="22"/>
        </w:rPr>
        <w:sectPr>
          <w:pgSz w:w="11906" w:h="16838"/>
          <w:pgMar w:top="1440" w:right="1800" w:bottom="1440" w:left="1800" w:header="851" w:footer="992" w:gutter="0"/>
          <w:cols w:space="425" w:num="1"/>
          <w:docGrid w:type="lines" w:linePitch="312" w:charSpace="0"/>
        </w:sectPr>
      </w:pPr>
    </w:p>
    <w:p>
      <w:pPr>
        <w:pStyle w:val="2"/>
        <w:outlineLvl w:val="0"/>
        <w:rPr>
          <w:rFonts w:ascii="方正楷体_GBK" w:hAnsi="方正楷体_GBK" w:eastAsia="方正楷体_GBK" w:cs="方正楷体_GBK"/>
          <w:sz w:val="28"/>
          <w:szCs w:val="22"/>
        </w:rPr>
      </w:pPr>
      <w:bookmarkStart w:id="24" w:name="_Toc8798"/>
      <w:bookmarkStart w:id="25" w:name="_Toc23936"/>
      <w:r>
        <w:rPr>
          <w:rFonts w:hint="eastAsia" w:ascii="方正楷体_GBK" w:hAnsi="方正楷体_GBK" w:eastAsia="方正楷体_GBK" w:cs="方正楷体_GBK"/>
          <w:sz w:val="28"/>
          <w:szCs w:val="22"/>
        </w:rPr>
        <w:t>第六章  资格评审标准</w:t>
      </w:r>
      <w:bookmarkEnd w:id="24"/>
      <w:bookmarkEnd w:id="25"/>
    </w:p>
    <w:p>
      <w:pPr>
        <w:spacing w:line="360" w:lineRule="auto"/>
        <w:rPr>
          <w:rFonts w:ascii="华文楷体" w:hAnsi="华文楷体" w:eastAsia="华文楷体" w:cs="华文楷体"/>
          <w:sz w:val="24"/>
        </w:rPr>
      </w:pPr>
      <w:r>
        <w:rPr>
          <w:rFonts w:hint="eastAsia" w:ascii="华文楷体" w:hAnsi="华文楷体" w:eastAsia="华文楷体" w:cs="华文楷体"/>
          <w:sz w:val="24"/>
          <w:lang w:eastAsia="zh-CN"/>
        </w:rPr>
        <w:t>响应</w:t>
      </w:r>
      <w:r>
        <w:rPr>
          <w:rFonts w:ascii="华文楷体" w:hAnsi="华文楷体" w:eastAsia="华文楷体" w:cs="华文楷体"/>
          <w:sz w:val="24"/>
        </w:rPr>
        <w:t>文件出现不满足下列各项评审内容及标准要求之一的，则资格评审为不合格。合格</w:t>
      </w:r>
      <w:r>
        <w:rPr>
          <w:rFonts w:hint="eastAsia" w:ascii="华文楷体" w:hAnsi="华文楷体" w:eastAsia="华文楷体" w:cs="华文楷体"/>
          <w:sz w:val="24"/>
          <w:lang w:eastAsia="zh-CN"/>
        </w:rPr>
        <w:t>响应人</w:t>
      </w:r>
      <w:r>
        <w:rPr>
          <w:rFonts w:ascii="华文楷体" w:hAnsi="华文楷体" w:eastAsia="华文楷体" w:cs="华文楷体"/>
          <w:sz w:val="24"/>
        </w:rPr>
        <w:t>不足3家的，不得</w:t>
      </w:r>
      <w:r>
        <w:rPr>
          <w:rFonts w:hint="eastAsia" w:ascii="华文楷体" w:hAnsi="华文楷体" w:eastAsia="华文楷体" w:cs="华文楷体"/>
          <w:sz w:val="24"/>
          <w:lang w:eastAsia="zh-CN"/>
        </w:rPr>
        <w:t>评审</w:t>
      </w:r>
      <w:r>
        <w:rPr>
          <w:rFonts w:hint="eastAsia" w:ascii="华文楷体" w:hAnsi="华文楷体" w:eastAsia="华文楷体" w:cs="华文楷体"/>
          <w:sz w:val="24"/>
        </w:rPr>
        <w:t>（非二次公示）</w:t>
      </w:r>
      <w:r>
        <w:rPr>
          <w:rFonts w:ascii="华文楷体" w:hAnsi="华文楷体" w:eastAsia="华文楷体" w:cs="华文楷体"/>
          <w:sz w:val="24"/>
        </w:rPr>
        <w:t>。下列各项评审内容及标准均为</w:t>
      </w:r>
      <w:r>
        <w:rPr>
          <w:rFonts w:hint="eastAsia" w:ascii="华文楷体" w:hAnsi="华文楷体" w:eastAsia="华文楷体" w:cs="华文楷体"/>
          <w:sz w:val="24"/>
          <w:lang w:eastAsia="zh-CN"/>
        </w:rPr>
        <w:t>采购</w:t>
      </w:r>
      <w:r>
        <w:rPr>
          <w:rFonts w:ascii="华文楷体" w:hAnsi="华文楷体" w:eastAsia="华文楷体" w:cs="华文楷体"/>
          <w:sz w:val="24"/>
        </w:rPr>
        <w:t>文件的实质性要求，</w:t>
      </w:r>
      <w:r>
        <w:rPr>
          <w:rFonts w:hint="eastAsia" w:ascii="华文楷体" w:hAnsi="华文楷体" w:eastAsia="华文楷体" w:cs="华文楷体"/>
          <w:sz w:val="24"/>
          <w:lang w:eastAsia="zh-CN"/>
        </w:rPr>
        <w:t>响应</w:t>
      </w:r>
      <w:r>
        <w:rPr>
          <w:rFonts w:ascii="华文楷体" w:hAnsi="华文楷体" w:eastAsia="华文楷体" w:cs="华文楷体"/>
          <w:sz w:val="24"/>
        </w:rPr>
        <w:t>文件响应各款所列材料在开标后不得澄清、后补。</w:t>
      </w:r>
    </w:p>
    <w:tbl>
      <w:tblPr>
        <w:tblStyle w:val="8"/>
        <w:tblW w:w="108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781"/>
        <w:gridCol w:w="8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blHeader/>
          <w:jc w:val="center"/>
        </w:trPr>
        <w:tc>
          <w:tcPr>
            <w:tcW w:w="1276" w:type="dxa"/>
            <w:vAlign w:val="center"/>
          </w:tcPr>
          <w:p>
            <w:pPr>
              <w:spacing w:before="100" w:beforeAutospacing="1" w:after="100" w:afterAutospacing="1" w:line="360" w:lineRule="auto"/>
              <w:jc w:val="center"/>
              <w:rPr>
                <w:rFonts w:ascii="华文楷体" w:hAnsi="华文楷体" w:eastAsia="华文楷体" w:cs="华文楷体"/>
                <w:b/>
                <w:sz w:val="24"/>
              </w:rPr>
            </w:pPr>
            <w:r>
              <w:rPr>
                <w:rFonts w:hint="eastAsia" w:ascii="华文楷体" w:hAnsi="华文楷体" w:eastAsia="华文楷体" w:cs="华文楷体"/>
                <w:b/>
                <w:sz w:val="24"/>
              </w:rPr>
              <w:t>评审程序</w:t>
            </w:r>
          </w:p>
        </w:tc>
        <w:tc>
          <w:tcPr>
            <w:tcW w:w="9614" w:type="dxa"/>
            <w:gridSpan w:val="2"/>
            <w:vAlign w:val="center"/>
          </w:tcPr>
          <w:p>
            <w:pPr>
              <w:spacing w:before="100" w:beforeAutospacing="1" w:after="100" w:afterAutospacing="1" w:line="360" w:lineRule="auto"/>
              <w:jc w:val="center"/>
              <w:rPr>
                <w:rFonts w:ascii="华文楷体" w:hAnsi="华文楷体" w:eastAsia="华文楷体" w:cs="华文楷体"/>
                <w:b/>
                <w:sz w:val="24"/>
              </w:rPr>
            </w:pPr>
            <w:r>
              <w:rPr>
                <w:rFonts w:hint="eastAsia" w:ascii="华文楷体" w:hAnsi="华文楷体" w:eastAsia="华文楷体" w:cs="华文楷体"/>
                <w:b/>
                <w:sz w:val="24"/>
              </w:rPr>
              <w:t>评 审 内 容 及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blHeader/>
          <w:jc w:val="center"/>
        </w:trPr>
        <w:tc>
          <w:tcPr>
            <w:tcW w:w="1276" w:type="dxa"/>
            <w:vMerge w:val="restart"/>
            <w:vAlign w:val="center"/>
          </w:tcPr>
          <w:p>
            <w:pPr>
              <w:spacing w:before="100" w:beforeAutospacing="1" w:after="100" w:afterAutospacing="1" w:line="360" w:lineRule="auto"/>
              <w:jc w:val="center"/>
              <w:rPr>
                <w:rFonts w:ascii="华文楷体" w:hAnsi="华文楷体" w:eastAsia="华文楷体" w:cs="华文楷体"/>
                <w:b/>
                <w:sz w:val="24"/>
              </w:rPr>
            </w:pPr>
            <w:r>
              <w:rPr>
                <w:rFonts w:hint="eastAsia" w:ascii="华文楷体" w:hAnsi="华文楷体" w:eastAsia="华文楷体" w:cs="华文楷体"/>
                <w:sz w:val="24"/>
              </w:rPr>
              <w:t>资格评审标准</w:t>
            </w:r>
          </w:p>
        </w:tc>
        <w:tc>
          <w:tcPr>
            <w:tcW w:w="781" w:type="dxa"/>
            <w:vAlign w:val="center"/>
          </w:tcPr>
          <w:p>
            <w:pPr>
              <w:spacing w:before="100" w:beforeAutospacing="1" w:after="100" w:afterAutospacing="1" w:line="360" w:lineRule="auto"/>
              <w:jc w:val="center"/>
              <w:rPr>
                <w:rFonts w:ascii="华文楷体" w:hAnsi="华文楷体" w:eastAsia="华文楷体" w:cs="华文楷体"/>
                <w:b/>
                <w:sz w:val="24"/>
              </w:rPr>
            </w:pPr>
            <w:r>
              <w:rPr>
                <w:rFonts w:hint="eastAsia" w:ascii="华文楷体" w:hAnsi="华文楷体" w:eastAsia="华文楷体" w:cs="华文楷体"/>
                <w:b/>
                <w:sz w:val="24"/>
              </w:rPr>
              <w:t>1</w:t>
            </w:r>
          </w:p>
        </w:tc>
        <w:tc>
          <w:tcPr>
            <w:tcW w:w="8833" w:type="dxa"/>
            <w:vAlign w:val="center"/>
          </w:tcPr>
          <w:p>
            <w:pPr>
              <w:spacing w:before="100" w:beforeAutospacing="1" w:after="100" w:afterAutospacing="1" w:line="360" w:lineRule="auto"/>
              <w:jc w:val="left"/>
              <w:rPr>
                <w:rFonts w:ascii="华文楷体" w:hAnsi="华文楷体" w:eastAsia="华文楷体" w:cs="华文楷体"/>
                <w:b/>
                <w:sz w:val="24"/>
              </w:rPr>
            </w:pPr>
            <w:r>
              <w:rPr>
                <w:rFonts w:hint="eastAsia" w:ascii="华文楷体" w:hAnsi="华文楷体" w:eastAsia="华文楷体" w:cs="华文楷体"/>
                <w:b/>
                <w:sz w:val="24"/>
                <w:lang w:eastAsia="zh-CN"/>
              </w:rPr>
              <w:t>响应人</w:t>
            </w:r>
            <w:r>
              <w:rPr>
                <w:rFonts w:hint="eastAsia" w:ascii="华文楷体" w:hAnsi="华文楷体" w:eastAsia="华文楷体" w:cs="华文楷体"/>
                <w:b/>
                <w:sz w:val="24"/>
              </w:rPr>
              <w:t>应具备《中华人民共和国政府采购法》第二十二条规定的条件，并提供下列材料：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2" w:hRule="atLeast"/>
          <w:jc w:val="center"/>
        </w:trPr>
        <w:tc>
          <w:tcPr>
            <w:tcW w:w="1276" w:type="dxa"/>
            <w:vMerge w:val="continue"/>
            <w:vAlign w:val="center"/>
          </w:tcPr>
          <w:p>
            <w:pPr>
              <w:spacing w:before="100" w:beforeAutospacing="1" w:after="100" w:afterAutospacing="1" w:line="360" w:lineRule="auto"/>
              <w:jc w:val="center"/>
              <w:rPr>
                <w:rFonts w:ascii="华文楷体" w:hAnsi="华文楷体" w:eastAsia="华文楷体" w:cs="华文楷体"/>
                <w:sz w:val="24"/>
              </w:rPr>
            </w:pPr>
          </w:p>
        </w:tc>
        <w:tc>
          <w:tcPr>
            <w:tcW w:w="781" w:type="dxa"/>
            <w:vAlign w:val="center"/>
          </w:tcPr>
          <w:p>
            <w:pPr>
              <w:spacing w:before="100" w:beforeAutospacing="1" w:after="100" w:afterAutospacing="1" w:line="360" w:lineRule="auto"/>
              <w:jc w:val="center"/>
              <w:rPr>
                <w:rFonts w:ascii="华文楷体" w:hAnsi="华文楷体" w:eastAsia="华文楷体" w:cs="华文楷体"/>
                <w:sz w:val="24"/>
              </w:rPr>
            </w:pPr>
            <w:r>
              <w:rPr>
                <w:rFonts w:hint="eastAsia" w:ascii="华文楷体" w:hAnsi="华文楷体" w:eastAsia="华文楷体" w:cs="华文楷体"/>
                <w:sz w:val="24"/>
              </w:rPr>
              <w:t>1.1</w:t>
            </w:r>
          </w:p>
        </w:tc>
        <w:tc>
          <w:tcPr>
            <w:tcW w:w="8833" w:type="dxa"/>
            <w:vAlign w:val="center"/>
          </w:tcPr>
          <w:p>
            <w:pPr>
              <w:spacing w:before="100" w:beforeAutospacing="1" w:after="100" w:afterAutospacing="1" w:line="360" w:lineRule="auto"/>
              <w:jc w:val="left"/>
              <w:rPr>
                <w:rFonts w:hint="eastAsia" w:ascii="华文楷体" w:hAnsi="华文楷体" w:eastAsia="华文楷体" w:cs="华文楷体"/>
                <w:sz w:val="24"/>
                <w:lang w:eastAsia="zh-CN"/>
              </w:rPr>
            </w:pPr>
            <w:r>
              <w:rPr>
                <w:rFonts w:hint="eastAsia" w:ascii="华文楷体" w:hAnsi="华文楷体" w:eastAsia="华文楷体" w:cs="华文楷体"/>
                <w:sz w:val="24"/>
                <w:lang w:eastAsia="zh-CN"/>
              </w:rPr>
              <w:t>具有独立承担民事责任能力，提供有效期内的营业执照、法定代表人身份证或法定代表人身份证明书（原件）；法定代表人委托他人参与的，还需提交法定代表人授权委托书（原件）、委托代理人身份证（原件及复印件），</w:t>
            </w:r>
            <w:r>
              <w:rPr>
                <w:rFonts w:hint="eastAsia" w:ascii="华文楷体" w:hAnsi="华文楷体" w:eastAsia="华文楷体" w:cs="华文楷体"/>
                <w:sz w:val="24"/>
                <w:lang w:val="en-US" w:eastAsia="zh-CN"/>
              </w:rPr>
              <w:t>否则</w:t>
            </w:r>
            <w:r>
              <w:rPr>
                <w:rFonts w:hint="eastAsia" w:ascii="华文楷体" w:hAnsi="华文楷体" w:eastAsia="华文楷体" w:cs="华文楷体"/>
                <w:kern w:val="0"/>
                <w:sz w:val="24"/>
                <w:szCs w:val="24"/>
              </w:rPr>
              <w:t>视为无效响应</w:t>
            </w:r>
            <w:r>
              <w:rPr>
                <w:rFonts w:hint="eastAsia" w:ascii="华文楷体" w:hAnsi="华文楷体" w:eastAsia="华文楷体" w:cs="华文楷体"/>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1" w:hRule="atLeast"/>
          <w:jc w:val="center"/>
        </w:trPr>
        <w:tc>
          <w:tcPr>
            <w:tcW w:w="1276" w:type="dxa"/>
            <w:vMerge w:val="continue"/>
            <w:vAlign w:val="center"/>
          </w:tcPr>
          <w:p>
            <w:pPr>
              <w:spacing w:before="100" w:beforeAutospacing="1" w:after="100" w:afterAutospacing="1" w:line="360" w:lineRule="auto"/>
              <w:jc w:val="center"/>
              <w:rPr>
                <w:rFonts w:ascii="华文楷体" w:hAnsi="华文楷体" w:eastAsia="华文楷体" w:cs="华文楷体"/>
                <w:sz w:val="24"/>
              </w:rPr>
            </w:pPr>
          </w:p>
        </w:tc>
        <w:tc>
          <w:tcPr>
            <w:tcW w:w="781" w:type="dxa"/>
            <w:vAlign w:val="center"/>
          </w:tcPr>
          <w:p>
            <w:pPr>
              <w:spacing w:before="100" w:beforeAutospacing="1" w:after="100" w:afterAutospacing="1" w:line="360" w:lineRule="auto"/>
              <w:jc w:val="center"/>
              <w:rPr>
                <w:rFonts w:ascii="华文楷体" w:hAnsi="华文楷体" w:eastAsia="华文楷体" w:cs="华文楷体"/>
                <w:sz w:val="24"/>
              </w:rPr>
            </w:pPr>
            <w:r>
              <w:rPr>
                <w:rFonts w:hint="eastAsia" w:ascii="华文楷体" w:hAnsi="华文楷体" w:eastAsia="华文楷体" w:cs="华文楷体"/>
                <w:sz w:val="24"/>
              </w:rPr>
              <w:t>1.2</w:t>
            </w:r>
          </w:p>
        </w:tc>
        <w:tc>
          <w:tcPr>
            <w:tcW w:w="8833" w:type="dxa"/>
            <w:vAlign w:val="center"/>
          </w:tcPr>
          <w:p>
            <w:pPr>
              <w:spacing w:before="100" w:beforeAutospacing="1" w:after="100" w:afterAutospacing="1" w:line="360" w:lineRule="auto"/>
              <w:jc w:val="left"/>
              <w:rPr>
                <w:rFonts w:hint="eastAsia" w:ascii="华文楷体" w:hAnsi="华文楷体" w:eastAsia="华文楷体" w:cs="华文楷体"/>
                <w:sz w:val="24"/>
                <w:highlight w:val="none"/>
                <w:lang w:eastAsia="zh-CN"/>
              </w:rPr>
            </w:pPr>
            <w:r>
              <w:rPr>
                <w:rFonts w:hint="eastAsia" w:ascii="华文楷体" w:hAnsi="华文楷体" w:eastAsia="华文楷体" w:cs="华文楷体"/>
                <w:sz w:val="24"/>
                <w:highlight w:val="none"/>
              </w:rPr>
              <w:t>具有良好的商业信誉和健全的财务会计制度，提供信用记录信息截图（可通过“信用中国www.creditchina.gov.cn”、“中国政府采购网www.ccgp.gov.cn”等渠道查询，并将查询结果截图打印加盖鲜章），近三年任意一年经第三方审计的财务审计报告（含财务报表）或自报名截止时间前一年内由基本开户银行出具的资信证明</w:t>
            </w:r>
            <w:r>
              <w:rPr>
                <w:rFonts w:hint="eastAsia" w:ascii="华文楷体" w:hAnsi="华文楷体" w:eastAsia="华文楷体" w:cs="华文楷体"/>
                <w:sz w:val="24"/>
                <w:highlight w:val="none"/>
                <w:lang w:eastAsia="zh-CN"/>
              </w:rPr>
              <w:t>，</w:t>
            </w:r>
            <w:r>
              <w:rPr>
                <w:rFonts w:hint="eastAsia" w:ascii="华文楷体" w:hAnsi="华文楷体" w:eastAsia="华文楷体" w:cs="华文楷体"/>
                <w:sz w:val="24"/>
                <w:lang w:val="en-US" w:eastAsia="zh-CN"/>
              </w:rPr>
              <w:t>否则</w:t>
            </w:r>
            <w:r>
              <w:rPr>
                <w:rFonts w:hint="eastAsia" w:ascii="华文楷体" w:hAnsi="华文楷体" w:eastAsia="华文楷体" w:cs="华文楷体"/>
                <w:kern w:val="0"/>
                <w:sz w:val="24"/>
                <w:szCs w:val="24"/>
              </w:rPr>
              <w:t>视为无效响应</w:t>
            </w:r>
            <w:r>
              <w:rPr>
                <w:rFonts w:hint="eastAsia" w:ascii="华文楷体" w:hAnsi="华文楷体" w:eastAsia="华文楷体" w:cs="华文楷体"/>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2" w:hRule="atLeast"/>
          <w:jc w:val="center"/>
        </w:trPr>
        <w:tc>
          <w:tcPr>
            <w:tcW w:w="1276" w:type="dxa"/>
            <w:vMerge w:val="continue"/>
            <w:vAlign w:val="center"/>
          </w:tcPr>
          <w:p>
            <w:pPr>
              <w:spacing w:before="100" w:beforeAutospacing="1" w:after="100" w:afterAutospacing="1" w:line="360" w:lineRule="auto"/>
              <w:rPr>
                <w:rFonts w:ascii="华文楷体" w:hAnsi="华文楷体" w:eastAsia="华文楷体" w:cs="华文楷体"/>
                <w:sz w:val="24"/>
              </w:rPr>
            </w:pPr>
          </w:p>
        </w:tc>
        <w:tc>
          <w:tcPr>
            <w:tcW w:w="781" w:type="dxa"/>
            <w:vAlign w:val="center"/>
          </w:tcPr>
          <w:p>
            <w:pPr>
              <w:spacing w:before="100" w:beforeAutospacing="1" w:after="100" w:afterAutospacing="1" w:line="360" w:lineRule="auto"/>
              <w:jc w:val="center"/>
              <w:rPr>
                <w:rFonts w:ascii="华文楷体" w:hAnsi="华文楷体" w:eastAsia="华文楷体" w:cs="华文楷体"/>
                <w:sz w:val="24"/>
              </w:rPr>
            </w:pPr>
            <w:r>
              <w:rPr>
                <w:rFonts w:hint="eastAsia" w:ascii="华文楷体" w:hAnsi="华文楷体" w:eastAsia="华文楷体" w:cs="华文楷体"/>
                <w:sz w:val="24"/>
              </w:rPr>
              <w:t>1.3</w:t>
            </w:r>
          </w:p>
        </w:tc>
        <w:tc>
          <w:tcPr>
            <w:tcW w:w="8833" w:type="dxa"/>
            <w:vAlign w:val="center"/>
          </w:tcPr>
          <w:p>
            <w:pPr>
              <w:spacing w:before="100" w:beforeAutospacing="1" w:after="100" w:afterAutospacing="1" w:line="360" w:lineRule="auto"/>
              <w:jc w:val="left"/>
              <w:rPr>
                <w:rFonts w:hint="eastAsia" w:ascii="华文楷体" w:hAnsi="华文楷体" w:eastAsia="华文楷体" w:cs="华文楷体"/>
                <w:sz w:val="24"/>
                <w:highlight w:val="none"/>
                <w:lang w:eastAsia="zh-CN"/>
              </w:rPr>
            </w:pPr>
            <w:r>
              <w:rPr>
                <w:rFonts w:hint="eastAsia" w:ascii="华文楷体" w:hAnsi="华文楷体" w:eastAsia="华文楷体" w:cs="华文楷体"/>
                <w:sz w:val="24"/>
                <w:highlight w:val="none"/>
              </w:rPr>
              <w:t>具有依法缴纳税收和社会保障资金的良好记录，提供最近一年内任意一个月依法缴纳税收凭证和社会保险费缴费凭证（新成立企业依法不需缴纳税收和社会保险费用的企业需提供相关证明材料或承诺）</w:t>
            </w:r>
            <w:r>
              <w:rPr>
                <w:rFonts w:hint="eastAsia" w:ascii="华文楷体" w:hAnsi="华文楷体" w:eastAsia="华文楷体" w:cs="华文楷体"/>
                <w:sz w:val="24"/>
                <w:highlight w:val="none"/>
                <w:lang w:eastAsia="zh-CN"/>
              </w:rPr>
              <w:t>，</w:t>
            </w:r>
            <w:r>
              <w:rPr>
                <w:rFonts w:hint="eastAsia" w:ascii="华文楷体" w:hAnsi="华文楷体" w:eastAsia="华文楷体" w:cs="华文楷体"/>
                <w:sz w:val="24"/>
                <w:lang w:val="en-US" w:eastAsia="zh-CN"/>
              </w:rPr>
              <w:t>否则</w:t>
            </w:r>
            <w:r>
              <w:rPr>
                <w:rFonts w:hint="eastAsia" w:ascii="华文楷体" w:hAnsi="华文楷体" w:eastAsia="华文楷体" w:cs="华文楷体"/>
                <w:kern w:val="0"/>
                <w:sz w:val="24"/>
                <w:szCs w:val="24"/>
              </w:rPr>
              <w:t>视为无效响应</w:t>
            </w:r>
            <w:r>
              <w:rPr>
                <w:rFonts w:hint="eastAsia" w:ascii="华文楷体" w:hAnsi="华文楷体" w:eastAsia="华文楷体" w:cs="华文楷体"/>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276" w:type="dxa"/>
            <w:vMerge w:val="continue"/>
            <w:vAlign w:val="center"/>
          </w:tcPr>
          <w:p>
            <w:pPr>
              <w:spacing w:before="100" w:beforeAutospacing="1" w:after="100" w:afterAutospacing="1" w:line="360" w:lineRule="auto"/>
              <w:rPr>
                <w:rFonts w:ascii="华文楷体" w:hAnsi="华文楷体" w:eastAsia="华文楷体" w:cs="华文楷体"/>
                <w:sz w:val="24"/>
              </w:rPr>
            </w:pPr>
          </w:p>
        </w:tc>
        <w:tc>
          <w:tcPr>
            <w:tcW w:w="781" w:type="dxa"/>
            <w:vAlign w:val="center"/>
          </w:tcPr>
          <w:p>
            <w:pPr>
              <w:spacing w:before="100" w:beforeAutospacing="1" w:after="100" w:afterAutospacing="1" w:line="360" w:lineRule="auto"/>
              <w:jc w:val="center"/>
              <w:rPr>
                <w:rFonts w:ascii="华文楷体" w:hAnsi="华文楷体" w:eastAsia="华文楷体" w:cs="华文楷体"/>
                <w:sz w:val="24"/>
              </w:rPr>
            </w:pPr>
            <w:r>
              <w:rPr>
                <w:rFonts w:hint="eastAsia" w:ascii="华文楷体" w:hAnsi="华文楷体" w:eastAsia="华文楷体" w:cs="华文楷体"/>
                <w:sz w:val="24"/>
              </w:rPr>
              <w:t>1.</w:t>
            </w:r>
            <w:r>
              <w:rPr>
                <w:rFonts w:hint="eastAsia" w:ascii="华文楷体" w:hAnsi="华文楷体" w:eastAsia="华文楷体" w:cs="华文楷体"/>
                <w:sz w:val="24"/>
                <w:lang w:val="en-US" w:eastAsia="zh-CN"/>
              </w:rPr>
              <w:t>4</w:t>
            </w:r>
          </w:p>
        </w:tc>
        <w:tc>
          <w:tcPr>
            <w:tcW w:w="8833" w:type="dxa"/>
            <w:vAlign w:val="center"/>
          </w:tcPr>
          <w:p>
            <w:pPr>
              <w:spacing w:before="100" w:beforeAutospacing="1" w:after="100" w:afterAutospacing="1" w:line="360" w:lineRule="auto"/>
              <w:jc w:val="left"/>
              <w:rPr>
                <w:rFonts w:hint="default" w:ascii="华文楷体" w:hAnsi="华文楷体" w:eastAsia="华文楷体" w:cs="华文楷体"/>
                <w:sz w:val="24"/>
                <w:highlight w:val="none"/>
                <w:lang w:val="en-US"/>
              </w:rPr>
            </w:pPr>
            <w:r>
              <w:rPr>
                <w:rFonts w:hint="eastAsia" w:ascii="华文楷体" w:hAnsi="华文楷体" w:eastAsia="华文楷体" w:cs="华文楷体"/>
                <w:sz w:val="24"/>
                <w:lang w:eastAsia="zh-CN"/>
              </w:rPr>
              <w:t>响应人</w:t>
            </w:r>
            <w:r>
              <w:rPr>
                <w:rFonts w:hint="eastAsia" w:ascii="华文楷体" w:hAnsi="华文楷体" w:eastAsia="华文楷体" w:cs="华文楷体"/>
                <w:sz w:val="24"/>
              </w:rPr>
              <w:t>必须提供参加采购活动前3年内在经营活动中没有重大违法记录的书面声明（重大违法记录，是指供应商因违法经营受到刑事处罚或者责令停产停业、吊销许可证或者执照、较大数额罚款等行政处罚</w:t>
            </w:r>
            <w:r>
              <w:rPr>
                <w:rFonts w:hint="eastAsia" w:ascii="华文楷体" w:hAnsi="华文楷体" w:eastAsia="华文楷体" w:cs="华文楷体"/>
                <w:sz w:val="24"/>
                <w:lang w:eastAsia="zh-CN"/>
              </w:rPr>
              <w:t>），</w:t>
            </w:r>
            <w:r>
              <w:rPr>
                <w:rFonts w:hint="eastAsia" w:ascii="华文楷体" w:hAnsi="华文楷体" w:eastAsia="华文楷体" w:cs="华文楷体"/>
                <w:sz w:val="24"/>
                <w:lang w:val="en-US" w:eastAsia="zh-CN"/>
              </w:rPr>
              <w:t>否则视为无效响应。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1276" w:type="dxa"/>
            <w:vMerge w:val="continue"/>
            <w:vAlign w:val="center"/>
          </w:tcPr>
          <w:p>
            <w:pPr>
              <w:spacing w:before="100" w:beforeAutospacing="1" w:after="100" w:afterAutospacing="1" w:line="360" w:lineRule="auto"/>
              <w:rPr>
                <w:rFonts w:ascii="华文楷体" w:hAnsi="华文楷体" w:eastAsia="华文楷体" w:cs="华文楷体"/>
                <w:sz w:val="24"/>
              </w:rPr>
            </w:pPr>
          </w:p>
        </w:tc>
        <w:tc>
          <w:tcPr>
            <w:tcW w:w="781" w:type="dxa"/>
            <w:vAlign w:val="center"/>
          </w:tcPr>
          <w:p>
            <w:pPr>
              <w:spacing w:before="100" w:beforeAutospacing="1" w:after="100" w:afterAutospacing="1" w:line="360" w:lineRule="auto"/>
              <w:jc w:val="center"/>
              <w:rPr>
                <w:rFonts w:ascii="华文楷体" w:hAnsi="华文楷体" w:eastAsia="华文楷体" w:cs="华文楷体"/>
                <w:sz w:val="24"/>
              </w:rPr>
            </w:pPr>
            <w:r>
              <w:rPr>
                <w:rFonts w:hint="eastAsia" w:ascii="华文楷体" w:hAnsi="华文楷体" w:eastAsia="华文楷体" w:cs="华文楷体"/>
                <w:sz w:val="24"/>
              </w:rPr>
              <w:t>1.5</w:t>
            </w:r>
          </w:p>
        </w:tc>
        <w:tc>
          <w:tcPr>
            <w:tcW w:w="8833" w:type="dxa"/>
            <w:vAlign w:val="center"/>
          </w:tcPr>
          <w:p>
            <w:pPr>
              <w:spacing w:before="100" w:beforeAutospacing="1" w:after="100" w:afterAutospacing="1" w:line="360" w:lineRule="auto"/>
              <w:jc w:val="left"/>
              <w:rPr>
                <w:rFonts w:ascii="华文楷体" w:hAnsi="华文楷体" w:eastAsia="华文楷体" w:cs="华文楷体"/>
                <w:sz w:val="24"/>
              </w:rPr>
            </w:pPr>
            <w:r>
              <w:rPr>
                <w:rFonts w:hint="eastAsia" w:ascii="华文楷体" w:hAnsi="华文楷体" w:eastAsia="华文楷体" w:cs="华文楷体"/>
                <w:sz w:val="24"/>
                <w:lang w:eastAsia="zh-CN"/>
              </w:rPr>
              <w:t>响应人</w:t>
            </w:r>
            <w:r>
              <w:rPr>
                <w:rFonts w:hint="eastAsia" w:ascii="华文楷体" w:hAnsi="华文楷体" w:eastAsia="华文楷体" w:cs="华文楷体"/>
                <w:sz w:val="24"/>
              </w:rPr>
              <w:t>须提供履行合同所必需的证明材料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blHeader/>
          <w:jc w:val="center"/>
        </w:trPr>
        <w:tc>
          <w:tcPr>
            <w:tcW w:w="1276" w:type="dxa"/>
            <w:vAlign w:val="center"/>
          </w:tcPr>
          <w:p>
            <w:pPr>
              <w:spacing w:before="100" w:beforeAutospacing="1" w:after="100" w:afterAutospacing="1" w:line="360" w:lineRule="auto"/>
              <w:jc w:val="center"/>
              <w:rPr>
                <w:rFonts w:ascii="华文楷体" w:hAnsi="华文楷体" w:eastAsia="华文楷体" w:cs="华文楷体"/>
                <w:b/>
                <w:sz w:val="24"/>
              </w:rPr>
            </w:pPr>
            <w:r>
              <w:rPr>
                <w:rFonts w:hint="eastAsia" w:ascii="华文楷体" w:hAnsi="华文楷体" w:eastAsia="华文楷体" w:cs="华文楷体"/>
                <w:b/>
                <w:sz w:val="24"/>
              </w:rPr>
              <w:t>评审程序</w:t>
            </w:r>
          </w:p>
        </w:tc>
        <w:tc>
          <w:tcPr>
            <w:tcW w:w="9614" w:type="dxa"/>
            <w:gridSpan w:val="2"/>
            <w:vAlign w:val="center"/>
          </w:tcPr>
          <w:p>
            <w:pPr>
              <w:spacing w:before="100" w:beforeAutospacing="1" w:after="100" w:afterAutospacing="1" w:line="360" w:lineRule="auto"/>
              <w:jc w:val="center"/>
              <w:rPr>
                <w:rFonts w:ascii="华文楷体" w:hAnsi="华文楷体" w:eastAsia="华文楷体" w:cs="华文楷体"/>
                <w:b/>
                <w:sz w:val="24"/>
              </w:rPr>
            </w:pPr>
            <w:r>
              <w:rPr>
                <w:rFonts w:hint="eastAsia" w:ascii="华文楷体" w:hAnsi="华文楷体" w:eastAsia="华文楷体" w:cs="华文楷体"/>
                <w:b/>
                <w:sz w:val="24"/>
              </w:rPr>
              <w:t>评 审 内 容 及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276" w:type="dxa"/>
            <w:vMerge w:val="restart"/>
            <w:vAlign w:val="center"/>
          </w:tcPr>
          <w:p>
            <w:pPr>
              <w:spacing w:before="100" w:beforeAutospacing="1" w:after="100" w:afterAutospacing="1" w:line="360" w:lineRule="auto"/>
              <w:rPr>
                <w:rFonts w:ascii="华文楷体" w:hAnsi="华文楷体" w:eastAsia="华文楷体" w:cs="华文楷体"/>
                <w:sz w:val="24"/>
              </w:rPr>
            </w:pPr>
            <w:r>
              <w:rPr>
                <w:rFonts w:hint="eastAsia" w:ascii="华文楷体" w:hAnsi="华文楷体" w:eastAsia="华文楷体" w:cs="华文楷体"/>
                <w:sz w:val="24"/>
              </w:rPr>
              <w:t>资格评审标准</w:t>
            </w:r>
          </w:p>
        </w:tc>
        <w:tc>
          <w:tcPr>
            <w:tcW w:w="781" w:type="dxa"/>
            <w:vAlign w:val="center"/>
          </w:tcPr>
          <w:p>
            <w:pPr>
              <w:spacing w:before="100" w:beforeAutospacing="1" w:after="100" w:afterAutospacing="1" w:line="360" w:lineRule="auto"/>
              <w:jc w:val="center"/>
              <w:rPr>
                <w:rFonts w:ascii="华文楷体" w:hAnsi="华文楷体" w:eastAsia="华文楷体" w:cs="华文楷体"/>
                <w:b/>
                <w:sz w:val="24"/>
              </w:rPr>
            </w:pPr>
            <w:r>
              <w:rPr>
                <w:rFonts w:hint="eastAsia" w:ascii="华文楷体" w:hAnsi="华文楷体" w:eastAsia="华文楷体" w:cs="华文楷体"/>
                <w:b/>
                <w:sz w:val="24"/>
              </w:rPr>
              <w:t>2</w:t>
            </w:r>
          </w:p>
        </w:tc>
        <w:tc>
          <w:tcPr>
            <w:tcW w:w="8833" w:type="dxa"/>
            <w:vAlign w:val="center"/>
          </w:tcPr>
          <w:p>
            <w:pPr>
              <w:spacing w:before="100" w:beforeAutospacing="1" w:after="100" w:afterAutospacing="1" w:line="360" w:lineRule="auto"/>
              <w:jc w:val="left"/>
              <w:rPr>
                <w:rFonts w:ascii="华文楷体" w:hAnsi="华文楷体" w:eastAsia="华文楷体" w:cs="华文楷体"/>
                <w:b/>
                <w:sz w:val="24"/>
              </w:rPr>
            </w:pPr>
            <w:r>
              <w:rPr>
                <w:rFonts w:hint="eastAsia" w:ascii="华文楷体" w:hAnsi="华文楷体" w:eastAsia="华文楷体" w:cs="华文楷体"/>
                <w:b/>
                <w:sz w:val="24"/>
                <w:lang w:eastAsia="zh-CN"/>
              </w:rPr>
              <w:t>响应人</w:t>
            </w:r>
            <w:r>
              <w:rPr>
                <w:rFonts w:hint="eastAsia" w:ascii="华文楷体" w:hAnsi="华文楷体" w:eastAsia="华文楷体" w:cs="华文楷体"/>
                <w:b/>
                <w:sz w:val="24"/>
              </w:rPr>
              <w:t>应符合采购人根据采购项目的特殊要求规定的特定条件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0" w:hRule="atLeast"/>
          <w:jc w:val="center"/>
        </w:trPr>
        <w:tc>
          <w:tcPr>
            <w:tcW w:w="1276" w:type="dxa"/>
            <w:vMerge w:val="continue"/>
            <w:vAlign w:val="center"/>
          </w:tcPr>
          <w:p>
            <w:pPr>
              <w:spacing w:before="100" w:beforeAutospacing="1" w:after="100" w:afterAutospacing="1" w:line="360" w:lineRule="auto"/>
              <w:rPr>
                <w:rFonts w:ascii="华文楷体" w:hAnsi="华文楷体" w:eastAsia="华文楷体" w:cs="华文楷体"/>
                <w:sz w:val="24"/>
              </w:rPr>
            </w:pPr>
          </w:p>
        </w:tc>
        <w:tc>
          <w:tcPr>
            <w:tcW w:w="781" w:type="dxa"/>
            <w:vAlign w:val="center"/>
          </w:tcPr>
          <w:p>
            <w:pPr>
              <w:spacing w:before="100" w:beforeAutospacing="1" w:after="100" w:afterAutospacing="1" w:line="360" w:lineRule="auto"/>
              <w:jc w:val="center"/>
              <w:rPr>
                <w:rFonts w:ascii="华文楷体" w:hAnsi="华文楷体" w:eastAsia="华文楷体" w:cs="华文楷体"/>
                <w:sz w:val="24"/>
              </w:rPr>
            </w:pPr>
            <w:r>
              <w:rPr>
                <w:rFonts w:hint="eastAsia" w:ascii="华文楷体" w:hAnsi="华文楷体" w:eastAsia="华文楷体" w:cs="华文楷体"/>
                <w:sz w:val="24"/>
              </w:rPr>
              <w:t>2.1</w:t>
            </w:r>
          </w:p>
        </w:tc>
        <w:tc>
          <w:tcPr>
            <w:tcW w:w="8833" w:type="dxa"/>
            <w:vAlign w:val="center"/>
          </w:tcPr>
          <w:p>
            <w:pPr>
              <w:spacing w:before="100" w:beforeAutospacing="1" w:after="100" w:afterAutospacing="1" w:line="240" w:lineRule="auto"/>
              <w:jc w:val="left"/>
              <w:rPr>
                <w:rFonts w:hint="eastAsia" w:ascii="华文楷体" w:hAnsi="华文楷体" w:eastAsia="华文楷体" w:cs="华文楷体"/>
                <w:sz w:val="21"/>
                <w:szCs w:val="21"/>
                <w:lang w:val="en-US" w:eastAsia="zh-CN"/>
              </w:rPr>
            </w:pPr>
            <w:r>
              <w:rPr>
                <w:rFonts w:hint="eastAsia" w:ascii="华文楷体" w:hAnsi="华文楷体" w:eastAsia="华文楷体" w:cs="华文楷体"/>
                <w:sz w:val="24"/>
                <w:szCs w:val="24"/>
              </w:rPr>
              <w:t>1.响应人须提供有效的《医疗器械经营企业许可证》或备案凭证；2.有效的产品生产许可证（进口产品除外）；3.响应产品有效的医疗器械注册证（含注册登记表）/备案证；4.响应产品是进口产品，必须具有制造商、全国总代或有可追溯的区域产品代理商针对本项目的专项授权书或长期代理授权书；是国产医用耗材的，需提供有利于合同执行的、可追溯的、制造商或代理商专项或长期供货证明材料。</w:t>
            </w:r>
            <w:r>
              <w:rPr>
                <w:rFonts w:hint="eastAsia" w:ascii="华文楷体" w:hAnsi="华文楷体" w:eastAsia="华文楷体" w:cs="华文楷体"/>
                <w:sz w:val="24"/>
                <w:szCs w:val="24"/>
                <w:lang w:val="en-US" w:eastAsia="zh-CN"/>
              </w:rPr>
              <w:t>未能提供上述材料的</w:t>
            </w:r>
            <w:r>
              <w:rPr>
                <w:rFonts w:hint="eastAsia" w:ascii="华文楷体" w:hAnsi="华文楷体" w:eastAsia="华文楷体" w:cs="华文楷体"/>
                <w:sz w:val="24"/>
                <w:lang w:val="en-US" w:eastAsia="zh-CN"/>
              </w:rPr>
              <w:t>，</w:t>
            </w:r>
            <w:r>
              <w:rPr>
                <w:rFonts w:hint="eastAsia" w:ascii="华文楷体" w:hAnsi="华文楷体" w:eastAsia="华文楷体" w:cs="华文楷体"/>
                <w:kern w:val="0"/>
                <w:sz w:val="24"/>
                <w:szCs w:val="24"/>
              </w:rPr>
              <w:t>视为无效响应</w:t>
            </w:r>
            <w:r>
              <w:rPr>
                <w:rFonts w:hint="eastAsia" w:ascii="华文楷体" w:hAnsi="华文楷体" w:eastAsia="华文楷体" w:cs="华文楷体"/>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8" w:hRule="atLeast"/>
          <w:jc w:val="center"/>
        </w:trPr>
        <w:tc>
          <w:tcPr>
            <w:tcW w:w="1276" w:type="dxa"/>
            <w:vMerge w:val="continue"/>
            <w:vAlign w:val="center"/>
          </w:tcPr>
          <w:p>
            <w:pPr>
              <w:spacing w:before="100" w:beforeAutospacing="1" w:after="100" w:afterAutospacing="1" w:line="360" w:lineRule="auto"/>
              <w:rPr>
                <w:rFonts w:ascii="华文楷体" w:hAnsi="华文楷体" w:eastAsia="华文楷体" w:cs="华文楷体"/>
                <w:sz w:val="24"/>
              </w:rPr>
            </w:pPr>
          </w:p>
        </w:tc>
        <w:tc>
          <w:tcPr>
            <w:tcW w:w="781" w:type="dxa"/>
            <w:vAlign w:val="center"/>
          </w:tcPr>
          <w:p>
            <w:pPr>
              <w:spacing w:before="100" w:beforeAutospacing="1" w:after="100" w:afterAutospacing="1" w:line="360" w:lineRule="auto"/>
              <w:jc w:val="center"/>
              <w:rPr>
                <w:rFonts w:ascii="华文楷体" w:hAnsi="华文楷体" w:eastAsia="华文楷体" w:cs="华文楷体"/>
                <w:sz w:val="24"/>
              </w:rPr>
            </w:pPr>
            <w:r>
              <w:rPr>
                <w:rFonts w:hint="eastAsia" w:ascii="华文楷体" w:hAnsi="华文楷体" w:eastAsia="华文楷体" w:cs="华文楷体"/>
                <w:sz w:val="24"/>
              </w:rPr>
              <w:t>2.2</w:t>
            </w:r>
          </w:p>
        </w:tc>
        <w:tc>
          <w:tcPr>
            <w:tcW w:w="8833" w:type="dxa"/>
            <w:vAlign w:val="center"/>
          </w:tcPr>
          <w:p>
            <w:pPr>
              <w:spacing w:before="100" w:beforeAutospacing="1" w:after="100" w:afterAutospacing="1" w:line="360" w:lineRule="auto"/>
              <w:jc w:val="left"/>
              <w:rPr>
                <w:rFonts w:ascii="华文楷体" w:hAnsi="华文楷体" w:eastAsia="华文楷体" w:cs="华文楷体"/>
                <w:sz w:val="21"/>
                <w:szCs w:val="21"/>
              </w:rPr>
            </w:pPr>
            <w:r>
              <w:rPr>
                <w:rFonts w:hint="eastAsia" w:ascii="华文楷体" w:hAnsi="华文楷体" w:eastAsia="华文楷体" w:cs="华文楷体"/>
                <w:kern w:val="0"/>
                <w:sz w:val="24"/>
                <w:szCs w:val="24"/>
              </w:rPr>
              <w:t>单位负责人为同一人或者存在直接控股、管理关系的不同</w:t>
            </w:r>
            <w:r>
              <w:rPr>
                <w:rFonts w:hint="eastAsia" w:ascii="华文楷体" w:hAnsi="华文楷体" w:eastAsia="华文楷体" w:cs="华文楷体"/>
                <w:kern w:val="0"/>
                <w:sz w:val="24"/>
                <w:szCs w:val="24"/>
                <w:lang w:eastAsia="zh-CN"/>
              </w:rPr>
              <w:t>响应人</w:t>
            </w:r>
            <w:r>
              <w:rPr>
                <w:rFonts w:hint="eastAsia" w:ascii="华文楷体" w:hAnsi="华文楷体" w:eastAsia="华文楷体" w:cs="华文楷体"/>
                <w:kern w:val="0"/>
                <w:sz w:val="24"/>
                <w:szCs w:val="24"/>
              </w:rPr>
              <w:t>，不得参加同一</w:t>
            </w:r>
            <w:r>
              <w:rPr>
                <w:rFonts w:hint="eastAsia" w:ascii="华文楷体" w:hAnsi="华文楷体" w:eastAsia="华文楷体" w:cs="华文楷体"/>
                <w:kern w:val="0"/>
                <w:sz w:val="24"/>
                <w:szCs w:val="24"/>
                <w:lang w:eastAsia="zh-CN"/>
              </w:rPr>
              <w:t>采购</w:t>
            </w:r>
            <w:r>
              <w:rPr>
                <w:rFonts w:hint="eastAsia" w:ascii="华文楷体" w:hAnsi="华文楷体" w:eastAsia="华文楷体" w:cs="华文楷体"/>
                <w:kern w:val="0"/>
                <w:sz w:val="24"/>
                <w:szCs w:val="24"/>
              </w:rPr>
              <w:t>项目包的采购活动。</w:t>
            </w:r>
          </w:p>
        </w:tc>
      </w:tr>
    </w:tbl>
    <w:p>
      <w:pPr>
        <w:rPr>
          <w:rFonts w:ascii="华文楷体" w:hAnsi="华文楷体" w:eastAsia="华文楷体" w:cs="华文楷体"/>
          <w:b/>
          <w:bCs/>
          <w:sz w:val="32"/>
          <w:szCs w:val="32"/>
        </w:rPr>
        <w:sectPr>
          <w:pgSz w:w="11906" w:h="16838"/>
          <w:pgMar w:top="930" w:right="1179" w:bottom="930" w:left="1179" w:header="851" w:footer="992" w:gutter="0"/>
          <w:cols w:space="425" w:num="1"/>
          <w:docGrid w:type="lines" w:linePitch="312" w:charSpace="0"/>
        </w:sectPr>
      </w:pPr>
    </w:p>
    <w:p>
      <w:pPr>
        <w:pStyle w:val="2"/>
        <w:outlineLvl w:val="0"/>
        <w:rPr>
          <w:rFonts w:ascii="方正楷体_GBK" w:hAnsi="方正楷体_GBK" w:eastAsia="方正楷体_GBK" w:cs="方正楷体_GBK"/>
          <w:sz w:val="28"/>
          <w:szCs w:val="22"/>
        </w:rPr>
      </w:pPr>
      <w:bookmarkStart w:id="26" w:name="_Toc32495"/>
      <w:bookmarkStart w:id="27" w:name="_Toc32426"/>
      <w:r>
        <w:rPr>
          <w:rFonts w:hint="eastAsia" w:ascii="方正楷体_GBK" w:hAnsi="方正楷体_GBK" w:eastAsia="方正楷体_GBK" w:cs="方正楷体_GBK"/>
          <w:sz w:val="28"/>
          <w:szCs w:val="22"/>
        </w:rPr>
        <w:t xml:space="preserve">第七章  </w:t>
      </w:r>
      <w:r>
        <w:rPr>
          <w:rFonts w:hint="eastAsia" w:ascii="方正楷体_GBK" w:hAnsi="方正楷体_GBK" w:eastAsia="方正楷体_GBK" w:cs="方正楷体_GBK"/>
          <w:sz w:val="28"/>
          <w:szCs w:val="22"/>
          <w:lang w:eastAsia="zh-CN"/>
        </w:rPr>
        <w:t>评审</w:t>
      </w:r>
      <w:r>
        <w:rPr>
          <w:rFonts w:ascii="方正楷体_GBK" w:hAnsi="方正楷体_GBK" w:eastAsia="方正楷体_GBK" w:cs="方正楷体_GBK"/>
          <w:sz w:val="28"/>
          <w:szCs w:val="22"/>
        </w:rPr>
        <w:t>方法（综合评分法）</w:t>
      </w:r>
      <w:bookmarkEnd w:id="26"/>
      <w:bookmarkEnd w:id="27"/>
    </w:p>
    <w:tbl>
      <w:tblPr>
        <w:tblStyle w:val="8"/>
        <w:tblW w:w="100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013"/>
        <w:gridCol w:w="1593"/>
        <w:gridCol w:w="2682"/>
        <w:gridCol w:w="3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blHeader/>
          <w:jc w:val="center"/>
        </w:trPr>
        <w:tc>
          <w:tcPr>
            <w:tcW w:w="851" w:type="dxa"/>
            <w:vAlign w:val="center"/>
          </w:tcPr>
          <w:p>
            <w:pPr>
              <w:spacing w:before="100" w:beforeAutospacing="1" w:after="100" w:afterAutospacing="1" w:line="160" w:lineRule="atLeast"/>
              <w:jc w:val="center"/>
              <w:rPr>
                <w:rFonts w:ascii="华文楷体" w:hAnsi="华文楷体" w:eastAsia="华文楷体" w:cs="华文楷体"/>
                <w:b/>
                <w:szCs w:val="21"/>
              </w:rPr>
            </w:pPr>
            <w:r>
              <w:rPr>
                <w:rFonts w:hint="eastAsia" w:ascii="华文楷体" w:hAnsi="华文楷体" w:eastAsia="华文楷体" w:cs="华文楷体"/>
                <w:b/>
                <w:szCs w:val="21"/>
              </w:rPr>
              <w:t>条款号</w:t>
            </w:r>
          </w:p>
        </w:tc>
        <w:tc>
          <w:tcPr>
            <w:tcW w:w="1013" w:type="dxa"/>
            <w:vAlign w:val="center"/>
          </w:tcPr>
          <w:p>
            <w:pPr>
              <w:spacing w:before="100" w:beforeAutospacing="1" w:after="100" w:afterAutospacing="1" w:line="160" w:lineRule="atLeast"/>
              <w:jc w:val="center"/>
              <w:rPr>
                <w:rFonts w:ascii="华文楷体" w:hAnsi="华文楷体" w:eastAsia="华文楷体" w:cs="华文楷体"/>
                <w:b/>
                <w:szCs w:val="21"/>
              </w:rPr>
            </w:pPr>
            <w:r>
              <w:rPr>
                <w:rFonts w:hint="eastAsia" w:ascii="华文楷体" w:hAnsi="华文楷体" w:eastAsia="华文楷体" w:cs="华文楷体"/>
                <w:b/>
                <w:szCs w:val="21"/>
              </w:rPr>
              <w:t>评审程序</w:t>
            </w:r>
          </w:p>
        </w:tc>
        <w:tc>
          <w:tcPr>
            <w:tcW w:w="8181" w:type="dxa"/>
            <w:gridSpan w:val="3"/>
            <w:vAlign w:val="center"/>
          </w:tcPr>
          <w:p>
            <w:pPr>
              <w:spacing w:before="100" w:beforeAutospacing="1" w:after="100" w:afterAutospacing="1" w:line="160" w:lineRule="atLeast"/>
              <w:jc w:val="center"/>
              <w:rPr>
                <w:rFonts w:ascii="华文楷体" w:hAnsi="华文楷体" w:eastAsia="华文楷体" w:cs="华文楷体"/>
                <w:b/>
                <w:szCs w:val="21"/>
              </w:rPr>
            </w:pPr>
            <w:r>
              <w:rPr>
                <w:rFonts w:hint="eastAsia" w:ascii="华文楷体" w:hAnsi="华文楷体" w:eastAsia="华文楷体" w:cs="华文楷体"/>
                <w:b/>
                <w:szCs w:val="21"/>
              </w:rPr>
              <w:t>评 审 内 容 及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851" w:type="dxa"/>
            <w:vMerge w:val="restart"/>
            <w:vAlign w:val="center"/>
          </w:tcPr>
          <w:p>
            <w:pPr>
              <w:spacing w:before="100" w:beforeAutospacing="1" w:after="100" w:afterAutospacing="1" w:line="160" w:lineRule="atLeast"/>
              <w:jc w:val="center"/>
              <w:rPr>
                <w:rFonts w:ascii="华文楷体" w:hAnsi="华文楷体" w:eastAsia="华文楷体" w:cs="华文楷体"/>
                <w:szCs w:val="21"/>
              </w:rPr>
            </w:pPr>
            <w:r>
              <w:rPr>
                <w:rFonts w:hint="eastAsia" w:ascii="华文楷体" w:hAnsi="华文楷体" w:eastAsia="华文楷体" w:cs="华文楷体"/>
                <w:szCs w:val="21"/>
              </w:rPr>
              <w:t>3.1</w:t>
            </w:r>
          </w:p>
        </w:tc>
        <w:tc>
          <w:tcPr>
            <w:tcW w:w="1013" w:type="dxa"/>
            <w:vMerge w:val="restart"/>
            <w:vAlign w:val="center"/>
          </w:tcPr>
          <w:p>
            <w:pPr>
              <w:spacing w:before="100" w:beforeAutospacing="1" w:after="100" w:afterAutospacing="1" w:line="160" w:lineRule="atLeast"/>
              <w:jc w:val="center"/>
              <w:rPr>
                <w:rFonts w:ascii="华文楷体" w:hAnsi="华文楷体" w:eastAsia="华文楷体" w:cs="华文楷体"/>
                <w:szCs w:val="21"/>
              </w:rPr>
            </w:pPr>
            <w:r>
              <w:rPr>
                <w:rFonts w:hint="eastAsia" w:ascii="华文楷体" w:hAnsi="华文楷体" w:eastAsia="华文楷体" w:cs="华文楷体"/>
                <w:szCs w:val="21"/>
              </w:rPr>
              <w:t>符合性评审标准</w:t>
            </w:r>
          </w:p>
        </w:tc>
        <w:tc>
          <w:tcPr>
            <w:tcW w:w="8181" w:type="dxa"/>
            <w:gridSpan w:val="3"/>
            <w:vAlign w:val="center"/>
          </w:tcPr>
          <w:p>
            <w:pPr>
              <w:spacing w:before="100" w:beforeAutospacing="1" w:after="100" w:afterAutospacing="1" w:line="160" w:lineRule="atLeast"/>
              <w:jc w:val="left"/>
              <w:rPr>
                <w:rFonts w:ascii="华文楷体" w:hAnsi="华文楷体" w:eastAsia="华文楷体" w:cs="华文楷体"/>
                <w:b/>
                <w:szCs w:val="21"/>
              </w:rPr>
            </w:pPr>
            <w:r>
              <w:rPr>
                <w:rFonts w:hint="eastAsia" w:ascii="华文楷体" w:hAnsi="华文楷体" w:eastAsia="华文楷体" w:cs="华文楷体"/>
                <w:b/>
                <w:szCs w:val="21"/>
                <w:lang w:eastAsia="zh-CN"/>
              </w:rPr>
              <w:t>响应人</w:t>
            </w:r>
            <w:r>
              <w:rPr>
                <w:rFonts w:hint="eastAsia" w:ascii="华文楷体" w:hAnsi="华文楷体" w:eastAsia="华文楷体" w:cs="华文楷体"/>
                <w:b/>
                <w:szCs w:val="21"/>
              </w:rPr>
              <w:t>存在下列情况之一的，</w:t>
            </w:r>
            <w:r>
              <w:rPr>
                <w:rFonts w:hint="eastAsia" w:ascii="华文楷体" w:hAnsi="华文楷体" w:eastAsia="华文楷体" w:cs="华文楷体"/>
                <w:b/>
                <w:szCs w:val="21"/>
                <w:lang w:eastAsia="zh-CN"/>
              </w:rPr>
              <w:t>响应</w:t>
            </w:r>
            <w:r>
              <w:rPr>
                <w:rFonts w:hint="eastAsia" w:ascii="华文楷体" w:hAnsi="华文楷体" w:eastAsia="华文楷体" w:cs="华文楷体"/>
                <w:b/>
                <w:szCs w:val="21"/>
              </w:rPr>
              <w:t>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51" w:type="dxa"/>
            <w:vMerge w:val="continue"/>
            <w:vAlign w:val="center"/>
          </w:tcPr>
          <w:p>
            <w:pPr>
              <w:spacing w:before="100" w:beforeAutospacing="1" w:after="100" w:afterAutospacing="1" w:line="160" w:lineRule="atLeast"/>
              <w:rPr>
                <w:rFonts w:ascii="华文楷体" w:hAnsi="华文楷体" w:eastAsia="华文楷体" w:cs="华文楷体"/>
                <w:szCs w:val="21"/>
              </w:rPr>
            </w:pPr>
          </w:p>
        </w:tc>
        <w:tc>
          <w:tcPr>
            <w:tcW w:w="1013" w:type="dxa"/>
            <w:vMerge w:val="continue"/>
            <w:vAlign w:val="center"/>
          </w:tcPr>
          <w:p>
            <w:pPr>
              <w:spacing w:before="100" w:beforeAutospacing="1" w:after="100" w:afterAutospacing="1" w:line="160" w:lineRule="atLeast"/>
              <w:rPr>
                <w:rFonts w:ascii="华文楷体" w:hAnsi="华文楷体" w:eastAsia="华文楷体" w:cs="华文楷体"/>
                <w:szCs w:val="21"/>
              </w:rPr>
            </w:pPr>
          </w:p>
        </w:tc>
        <w:tc>
          <w:tcPr>
            <w:tcW w:w="4275" w:type="dxa"/>
            <w:gridSpan w:val="2"/>
            <w:vAlign w:val="center"/>
          </w:tcPr>
          <w:p>
            <w:pPr>
              <w:spacing w:before="100" w:beforeAutospacing="1" w:after="100" w:afterAutospacing="1" w:line="160" w:lineRule="atLeast"/>
              <w:jc w:val="center"/>
              <w:rPr>
                <w:rFonts w:ascii="华文楷体" w:hAnsi="华文楷体" w:eastAsia="华文楷体" w:cs="华文楷体"/>
                <w:szCs w:val="21"/>
              </w:rPr>
            </w:pPr>
            <w:r>
              <w:rPr>
                <w:rFonts w:hint="eastAsia" w:ascii="华文楷体" w:hAnsi="华文楷体" w:eastAsia="华文楷体" w:cs="华文楷体"/>
                <w:szCs w:val="21"/>
              </w:rPr>
              <w:t>签署、盖章</w:t>
            </w:r>
          </w:p>
        </w:tc>
        <w:tc>
          <w:tcPr>
            <w:tcW w:w="3906" w:type="dxa"/>
            <w:vAlign w:val="center"/>
          </w:tcPr>
          <w:p>
            <w:pPr>
              <w:spacing w:before="100" w:beforeAutospacing="1" w:after="100" w:afterAutospacing="1" w:line="160" w:lineRule="atLeast"/>
              <w:jc w:val="left"/>
              <w:rPr>
                <w:rFonts w:ascii="华文楷体" w:hAnsi="华文楷体" w:eastAsia="华文楷体" w:cs="华文楷体"/>
                <w:szCs w:val="21"/>
              </w:rPr>
            </w:pPr>
            <w:r>
              <w:rPr>
                <w:rFonts w:hint="eastAsia" w:ascii="华文楷体" w:hAnsi="华文楷体" w:eastAsia="华文楷体" w:cs="华文楷体"/>
                <w:szCs w:val="21"/>
                <w:lang w:eastAsia="zh-CN"/>
              </w:rPr>
              <w:t>响应</w:t>
            </w:r>
            <w:r>
              <w:rPr>
                <w:rFonts w:hint="eastAsia" w:ascii="华文楷体" w:hAnsi="华文楷体" w:eastAsia="华文楷体" w:cs="华文楷体"/>
                <w:szCs w:val="21"/>
              </w:rPr>
              <w:t>文件未按</w:t>
            </w:r>
            <w:r>
              <w:rPr>
                <w:rFonts w:hint="eastAsia" w:ascii="华文楷体" w:hAnsi="华文楷体" w:eastAsia="华文楷体" w:cs="华文楷体"/>
                <w:szCs w:val="21"/>
                <w:lang w:eastAsia="zh-CN"/>
              </w:rPr>
              <w:t>采购</w:t>
            </w:r>
            <w:r>
              <w:rPr>
                <w:rFonts w:hint="eastAsia" w:ascii="华文楷体" w:hAnsi="华文楷体" w:eastAsia="华文楷体" w:cs="华文楷体"/>
                <w:szCs w:val="21"/>
              </w:rPr>
              <w:t>文件要求签署、盖章的；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851" w:type="dxa"/>
            <w:vMerge w:val="continue"/>
            <w:vAlign w:val="center"/>
          </w:tcPr>
          <w:p>
            <w:pPr>
              <w:spacing w:before="100" w:beforeAutospacing="1" w:after="100" w:afterAutospacing="1" w:line="160" w:lineRule="atLeast"/>
              <w:rPr>
                <w:rFonts w:ascii="华文楷体" w:hAnsi="华文楷体" w:eastAsia="华文楷体" w:cs="华文楷体"/>
                <w:szCs w:val="21"/>
              </w:rPr>
            </w:pPr>
          </w:p>
        </w:tc>
        <w:tc>
          <w:tcPr>
            <w:tcW w:w="1013" w:type="dxa"/>
            <w:vMerge w:val="continue"/>
            <w:vAlign w:val="center"/>
          </w:tcPr>
          <w:p>
            <w:pPr>
              <w:spacing w:before="100" w:beforeAutospacing="1" w:after="100" w:afterAutospacing="1" w:line="160" w:lineRule="atLeast"/>
              <w:rPr>
                <w:rFonts w:ascii="华文楷体" w:hAnsi="华文楷体" w:eastAsia="华文楷体" w:cs="华文楷体"/>
                <w:szCs w:val="21"/>
              </w:rPr>
            </w:pPr>
          </w:p>
        </w:tc>
        <w:tc>
          <w:tcPr>
            <w:tcW w:w="4275" w:type="dxa"/>
            <w:gridSpan w:val="2"/>
            <w:vAlign w:val="center"/>
          </w:tcPr>
          <w:p>
            <w:pPr>
              <w:spacing w:before="100" w:beforeAutospacing="1" w:after="100" w:afterAutospacing="1" w:line="160" w:lineRule="atLeast"/>
              <w:jc w:val="center"/>
              <w:rPr>
                <w:rFonts w:ascii="华文楷体" w:hAnsi="华文楷体" w:eastAsia="华文楷体" w:cs="华文楷体"/>
                <w:szCs w:val="21"/>
              </w:rPr>
            </w:pPr>
            <w:r>
              <w:rPr>
                <w:rFonts w:hint="eastAsia" w:ascii="华文楷体" w:hAnsi="华文楷体" w:eastAsia="华文楷体" w:cs="华文楷体"/>
                <w:szCs w:val="21"/>
              </w:rPr>
              <w:t>法定代表人身份证明书及法定代表人授权委托书</w:t>
            </w:r>
          </w:p>
        </w:tc>
        <w:tc>
          <w:tcPr>
            <w:tcW w:w="3906" w:type="dxa"/>
            <w:vAlign w:val="center"/>
          </w:tcPr>
          <w:p>
            <w:pPr>
              <w:spacing w:before="100" w:beforeAutospacing="1" w:after="100" w:afterAutospacing="1" w:line="160" w:lineRule="atLeast"/>
              <w:jc w:val="left"/>
              <w:rPr>
                <w:rFonts w:ascii="华文楷体" w:hAnsi="华文楷体" w:eastAsia="华文楷体" w:cs="华文楷体"/>
                <w:szCs w:val="21"/>
              </w:rPr>
            </w:pPr>
            <w:r>
              <w:rPr>
                <w:rFonts w:hint="eastAsia" w:ascii="华文楷体" w:hAnsi="华文楷体" w:eastAsia="华文楷体" w:cs="华文楷体"/>
                <w:szCs w:val="21"/>
                <w:lang w:eastAsia="zh-CN"/>
              </w:rPr>
              <w:t>响应</w:t>
            </w:r>
            <w:r>
              <w:rPr>
                <w:rFonts w:hint="eastAsia" w:ascii="华文楷体" w:hAnsi="华文楷体" w:eastAsia="华文楷体" w:cs="华文楷体"/>
                <w:szCs w:val="21"/>
              </w:rPr>
              <w:t>文件未按</w:t>
            </w:r>
            <w:r>
              <w:rPr>
                <w:rFonts w:hint="eastAsia" w:ascii="华文楷体" w:hAnsi="华文楷体" w:eastAsia="华文楷体" w:cs="华文楷体"/>
                <w:szCs w:val="21"/>
                <w:lang w:eastAsia="zh-CN"/>
              </w:rPr>
              <w:t>采购</w:t>
            </w:r>
            <w:r>
              <w:rPr>
                <w:rFonts w:hint="eastAsia" w:ascii="华文楷体" w:hAnsi="华文楷体" w:eastAsia="华文楷体" w:cs="华文楷体"/>
                <w:szCs w:val="21"/>
              </w:rPr>
              <w:t>文件要求签署、盖章的；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851" w:type="dxa"/>
            <w:vMerge w:val="continue"/>
            <w:vAlign w:val="center"/>
          </w:tcPr>
          <w:p>
            <w:pPr>
              <w:spacing w:before="100" w:beforeAutospacing="1" w:after="100" w:afterAutospacing="1" w:line="160" w:lineRule="atLeast"/>
              <w:rPr>
                <w:rFonts w:ascii="华文楷体" w:hAnsi="华文楷体" w:eastAsia="华文楷体" w:cs="华文楷体"/>
                <w:szCs w:val="21"/>
              </w:rPr>
            </w:pPr>
          </w:p>
        </w:tc>
        <w:tc>
          <w:tcPr>
            <w:tcW w:w="1013" w:type="dxa"/>
            <w:vMerge w:val="continue"/>
            <w:vAlign w:val="center"/>
          </w:tcPr>
          <w:p>
            <w:pPr>
              <w:spacing w:before="100" w:beforeAutospacing="1" w:after="100" w:afterAutospacing="1" w:line="160" w:lineRule="atLeast"/>
              <w:rPr>
                <w:rFonts w:ascii="华文楷体" w:hAnsi="华文楷体" w:eastAsia="华文楷体" w:cs="华文楷体"/>
                <w:szCs w:val="21"/>
              </w:rPr>
            </w:pPr>
          </w:p>
        </w:tc>
        <w:tc>
          <w:tcPr>
            <w:tcW w:w="4275" w:type="dxa"/>
            <w:gridSpan w:val="2"/>
            <w:vAlign w:val="center"/>
          </w:tcPr>
          <w:p>
            <w:pPr>
              <w:spacing w:before="100" w:beforeAutospacing="1" w:after="100" w:afterAutospacing="1" w:line="160" w:lineRule="atLeast"/>
              <w:jc w:val="center"/>
              <w:rPr>
                <w:rFonts w:ascii="华文楷体" w:hAnsi="华文楷体" w:eastAsia="华文楷体" w:cs="华文楷体"/>
                <w:szCs w:val="21"/>
              </w:rPr>
            </w:pPr>
            <w:r>
              <w:rPr>
                <w:rFonts w:hint="eastAsia" w:ascii="华文楷体" w:hAnsi="华文楷体" w:eastAsia="华文楷体" w:cs="华文楷体"/>
                <w:szCs w:val="21"/>
                <w:lang w:eastAsia="zh-CN"/>
              </w:rPr>
              <w:t>响应</w:t>
            </w:r>
            <w:r>
              <w:rPr>
                <w:rFonts w:hint="eastAsia" w:ascii="华文楷体" w:hAnsi="华文楷体" w:eastAsia="华文楷体" w:cs="华文楷体"/>
                <w:szCs w:val="21"/>
              </w:rPr>
              <w:t>报价</w:t>
            </w:r>
          </w:p>
        </w:tc>
        <w:tc>
          <w:tcPr>
            <w:tcW w:w="3906" w:type="dxa"/>
            <w:vAlign w:val="center"/>
          </w:tcPr>
          <w:p>
            <w:pPr>
              <w:spacing w:before="100" w:beforeAutospacing="1" w:after="100" w:afterAutospacing="1" w:line="160" w:lineRule="atLeast"/>
              <w:jc w:val="left"/>
              <w:rPr>
                <w:rFonts w:ascii="华文楷体" w:hAnsi="华文楷体" w:eastAsia="华文楷体" w:cs="华文楷体"/>
                <w:szCs w:val="21"/>
              </w:rPr>
            </w:pPr>
            <w:r>
              <w:rPr>
                <w:rFonts w:hint="eastAsia" w:ascii="华文楷体" w:hAnsi="华文楷体" w:eastAsia="华文楷体" w:cs="华文楷体"/>
                <w:szCs w:val="21"/>
                <w:lang w:eastAsia="zh-CN"/>
              </w:rPr>
              <w:t>响应</w:t>
            </w:r>
            <w:r>
              <w:rPr>
                <w:rFonts w:hint="eastAsia" w:ascii="华文楷体" w:hAnsi="华文楷体" w:eastAsia="华文楷体" w:cs="华文楷体"/>
                <w:szCs w:val="21"/>
              </w:rPr>
              <w:t>报价超过</w:t>
            </w:r>
            <w:r>
              <w:rPr>
                <w:rFonts w:hint="eastAsia" w:ascii="华文楷体" w:hAnsi="华文楷体" w:eastAsia="华文楷体" w:cs="华文楷体"/>
                <w:szCs w:val="21"/>
                <w:lang w:eastAsia="zh-CN"/>
              </w:rPr>
              <w:t>采购</w:t>
            </w:r>
            <w:r>
              <w:rPr>
                <w:rFonts w:hint="eastAsia" w:ascii="华文楷体" w:hAnsi="华文楷体" w:eastAsia="华文楷体" w:cs="华文楷体"/>
                <w:szCs w:val="21"/>
              </w:rPr>
              <w:t>文件中规定的最高限价的；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851" w:type="dxa"/>
            <w:vMerge w:val="continue"/>
            <w:vAlign w:val="center"/>
          </w:tcPr>
          <w:p>
            <w:pPr>
              <w:spacing w:before="100" w:beforeAutospacing="1" w:after="100" w:afterAutospacing="1" w:line="160" w:lineRule="atLeast"/>
              <w:rPr>
                <w:rFonts w:ascii="华文楷体" w:hAnsi="华文楷体" w:eastAsia="华文楷体" w:cs="华文楷体"/>
                <w:szCs w:val="21"/>
              </w:rPr>
            </w:pPr>
          </w:p>
        </w:tc>
        <w:tc>
          <w:tcPr>
            <w:tcW w:w="1013" w:type="dxa"/>
            <w:vMerge w:val="continue"/>
            <w:vAlign w:val="center"/>
          </w:tcPr>
          <w:p>
            <w:pPr>
              <w:spacing w:before="100" w:beforeAutospacing="1" w:after="100" w:afterAutospacing="1" w:line="160" w:lineRule="atLeast"/>
              <w:rPr>
                <w:rFonts w:ascii="华文楷体" w:hAnsi="华文楷体" w:eastAsia="华文楷体" w:cs="华文楷体"/>
                <w:szCs w:val="21"/>
              </w:rPr>
            </w:pPr>
          </w:p>
        </w:tc>
        <w:tc>
          <w:tcPr>
            <w:tcW w:w="4275" w:type="dxa"/>
            <w:gridSpan w:val="2"/>
            <w:vAlign w:val="center"/>
          </w:tcPr>
          <w:p>
            <w:pPr>
              <w:spacing w:before="100" w:beforeAutospacing="1" w:after="100" w:afterAutospacing="1" w:line="160" w:lineRule="atLeast"/>
              <w:jc w:val="center"/>
              <w:rPr>
                <w:rFonts w:ascii="华文楷体" w:hAnsi="华文楷体" w:eastAsia="华文楷体" w:cs="华文楷体"/>
                <w:szCs w:val="21"/>
              </w:rPr>
            </w:pPr>
            <w:r>
              <w:rPr>
                <w:rFonts w:hint="eastAsia" w:ascii="华文楷体" w:hAnsi="华文楷体" w:eastAsia="华文楷体" w:cs="华文楷体"/>
                <w:szCs w:val="21"/>
              </w:rPr>
              <w:t>不能接受的附加条件</w:t>
            </w:r>
          </w:p>
        </w:tc>
        <w:tc>
          <w:tcPr>
            <w:tcW w:w="3906" w:type="dxa"/>
            <w:vAlign w:val="center"/>
          </w:tcPr>
          <w:p>
            <w:pPr>
              <w:spacing w:before="100" w:beforeAutospacing="1" w:after="100" w:afterAutospacing="1" w:line="160" w:lineRule="atLeast"/>
              <w:jc w:val="left"/>
              <w:rPr>
                <w:rFonts w:ascii="华文楷体" w:hAnsi="华文楷体" w:eastAsia="华文楷体" w:cs="华文楷体"/>
                <w:szCs w:val="21"/>
              </w:rPr>
            </w:pPr>
            <w:r>
              <w:rPr>
                <w:rFonts w:hint="eastAsia" w:ascii="华文楷体" w:hAnsi="华文楷体" w:eastAsia="华文楷体" w:cs="华文楷体"/>
                <w:szCs w:val="21"/>
                <w:lang w:eastAsia="zh-CN"/>
              </w:rPr>
              <w:t>响应</w:t>
            </w:r>
            <w:r>
              <w:rPr>
                <w:rFonts w:hint="eastAsia" w:ascii="华文楷体" w:hAnsi="华文楷体" w:eastAsia="华文楷体" w:cs="华文楷体"/>
                <w:szCs w:val="21"/>
              </w:rPr>
              <w:t>文件含有采购人不能接受的附加条件的;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851" w:type="dxa"/>
            <w:vMerge w:val="continue"/>
            <w:vAlign w:val="center"/>
          </w:tcPr>
          <w:p>
            <w:pPr>
              <w:spacing w:before="100" w:beforeAutospacing="1" w:after="100" w:afterAutospacing="1" w:line="160" w:lineRule="atLeast"/>
              <w:rPr>
                <w:rFonts w:ascii="华文楷体" w:hAnsi="华文楷体" w:eastAsia="华文楷体" w:cs="华文楷体"/>
                <w:szCs w:val="21"/>
              </w:rPr>
            </w:pPr>
          </w:p>
        </w:tc>
        <w:tc>
          <w:tcPr>
            <w:tcW w:w="1013" w:type="dxa"/>
            <w:vMerge w:val="continue"/>
            <w:vAlign w:val="center"/>
          </w:tcPr>
          <w:p>
            <w:pPr>
              <w:spacing w:before="100" w:beforeAutospacing="1" w:after="100" w:afterAutospacing="1" w:line="160" w:lineRule="atLeast"/>
              <w:rPr>
                <w:rFonts w:ascii="华文楷体" w:hAnsi="华文楷体" w:eastAsia="华文楷体" w:cs="华文楷体"/>
                <w:szCs w:val="21"/>
              </w:rPr>
            </w:pPr>
          </w:p>
        </w:tc>
        <w:tc>
          <w:tcPr>
            <w:tcW w:w="4275" w:type="dxa"/>
            <w:gridSpan w:val="2"/>
            <w:vAlign w:val="center"/>
          </w:tcPr>
          <w:p>
            <w:pPr>
              <w:spacing w:before="100" w:beforeAutospacing="1" w:after="100" w:afterAutospacing="1" w:line="160" w:lineRule="atLeast"/>
              <w:jc w:val="center"/>
              <w:rPr>
                <w:rFonts w:ascii="华文楷体" w:hAnsi="华文楷体" w:eastAsia="华文楷体" w:cs="华文楷体"/>
                <w:szCs w:val="21"/>
              </w:rPr>
            </w:pPr>
            <w:r>
              <w:rPr>
                <w:rFonts w:hint="eastAsia" w:ascii="华文楷体" w:hAnsi="华文楷体" w:eastAsia="华文楷体" w:cs="华文楷体"/>
                <w:szCs w:val="21"/>
              </w:rPr>
              <w:t>其它实质性条件</w:t>
            </w:r>
          </w:p>
        </w:tc>
        <w:tc>
          <w:tcPr>
            <w:tcW w:w="3906" w:type="dxa"/>
            <w:vAlign w:val="center"/>
          </w:tcPr>
          <w:p>
            <w:pPr>
              <w:spacing w:before="100" w:beforeAutospacing="1" w:after="100" w:afterAutospacing="1" w:line="160" w:lineRule="atLeast"/>
              <w:jc w:val="left"/>
              <w:rPr>
                <w:rFonts w:ascii="华文楷体" w:hAnsi="华文楷体" w:eastAsia="华文楷体" w:cs="华文楷体"/>
                <w:szCs w:val="21"/>
              </w:rPr>
            </w:pPr>
            <w:r>
              <w:rPr>
                <w:rFonts w:hint="eastAsia" w:ascii="华文楷体" w:hAnsi="华文楷体" w:eastAsia="华文楷体" w:cs="华文楷体"/>
                <w:szCs w:val="21"/>
              </w:rPr>
              <w:t>响应</w:t>
            </w:r>
            <w:r>
              <w:rPr>
                <w:rFonts w:hint="eastAsia" w:ascii="华文楷体" w:hAnsi="华文楷体" w:eastAsia="华文楷体" w:cs="华文楷体"/>
                <w:szCs w:val="21"/>
                <w:lang w:val="en-US" w:eastAsia="zh-CN"/>
              </w:rPr>
              <w:t>输液器</w:t>
            </w:r>
            <w:r>
              <w:rPr>
                <w:rFonts w:hint="eastAsia" w:ascii="华文楷体" w:hAnsi="华文楷体" w:eastAsia="华文楷体" w:cs="华文楷体"/>
                <w:szCs w:val="21"/>
              </w:rPr>
              <w:t>的全部规格型号产品</w:t>
            </w:r>
            <w:r>
              <w:rPr>
                <w:rFonts w:hint="eastAsia" w:ascii="华文楷体" w:hAnsi="华文楷体" w:eastAsia="华文楷体" w:cs="华文楷体"/>
                <w:szCs w:val="21"/>
                <w:lang w:val="en-US" w:eastAsia="zh-CN"/>
              </w:rPr>
              <w:t>不是</w:t>
            </w:r>
            <w:r>
              <w:rPr>
                <w:rFonts w:hint="eastAsia" w:ascii="华文楷体" w:hAnsi="华文楷体" w:eastAsia="华文楷体" w:cs="华文楷体"/>
                <w:szCs w:val="21"/>
              </w:rPr>
              <w:t>同一品牌</w:t>
            </w:r>
            <w:r>
              <w:rPr>
                <w:rFonts w:hint="eastAsia" w:ascii="华文楷体" w:hAnsi="华文楷体" w:eastAsia="华文楷体" w:cs="华文楷体"/>
                <w:szCs w:val="21"/>
                <w:lang w:val="en-US" w:eastAsia="zh-CN"/>
              </w:rPr>
              <w:t>或</w:t>
            </w:r>
            <w:r>
              <w:rPr>
                <w:rFonts w:hint="eastAsia" w:ascii="华文楷体" w:hAnsi="华文楷体" w:eastAsia="华文楷体" w:cs="华文楷体"/>
                <w:szCs w:val="21"/>
              </w:rPr>
              <w:t>缺项和漏项</w:t>
            </w:r>
            <w:r>
              <w:rPr>
                <w:rFonts w:hint="eastAsia" w:ascii="华文楷体" w:hAnsi="华文楷体" w:eastAsia="华文楷体" w:cs="华文楷体"/>
                <w:szCs w:val="21"/>
                <w:lang w:val="en-US" w:eastAsia="zh-CN"/>
              </w:rPr>
              <w:t>的</w:t>
            </w:r>
            <w:r>
              <w:rPr>
                <w:rFonts w:hint="eastAsia" w:ascii="华文楷体" w:hAnsi="华文楷体" w:eastAsia="华文楷体" w:cs="华文楷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851" w:type="dxa"/>
            <w:vMerge w:val="continue"/>
            <w:vAlign w:val="center"/>
          </w:tcPr>
          <w:p>
            <w:pPr>
              <w:spacing w:before="100" w:beforeAutospacing="1" w:after="100" w:afterAutospacing="1" w:line="160" w:lineRule="atLeast"/>
              <w:rPr>
                <w:rFonts w:ascii="华文楷体" w:hAnsi="华文楷体" w:eastAsia="华文楷体" w:cs="华文楷体"/>
                <w:szCs w:val="21"/>
              </w:rPr>
            </w:pPr>
          </w:p>
        </w:tc>
        <w:tc>
          <w:tcPr>
            <w:tcW w:w="1013" w:type="dxa"/>
            <w:vMerge w:val="continue"/>
            <w:vAlign w:val="center"/>
          </w:tcPr>
          <w:p>
            <w:pPr>
              <w:spacing w:before="100" w:beforeAutospacing="1" w:after="100" w:afterAutospacing="1" w:line="160" w:lineRule="atLeast"/>
              <w:rPr>
                <w:rFonts w:ascii="华文楷体" w:hAnsi="华文楷体" w:eastAsia="华文楷体" w:cs="华文楷体"/>
                <w:szCs w:val="21"/>
              </w:rPr>
            </w:pPr>
          </w:p>
        </w:tc>
        <w:tc>
          <w:tcPr>
            <w:tcW w:w="4275" w:type="dxa"/>
            <w:gridSpan w:val="2"/>
            <w:vAlign w:val="center"/>
          </w:tcPr>
          <w:p>
            <w:pPr>
              <w:spacing w:before="100" w:beforeAutospacing="1" w:after="100" w:afterAutospacing="1" w:line="160" w:lineRule="atLeast"/>
              <w:jc w:val="center"/>
              <w:rPr>
                <w:rFonts w:ascii="华文楷体" w:hAnsi="华文楷体" w:eastAsia="华文楷体" w:cs="华文楷体"/>
                <w:szCs w:val="21"/>
              </w:rPr>
            </w:pPr>
            <w:r>
              <w:rPr>
                <w:rFonts w:hint="eastAsia" w:ascii="华文楷体" w:hAnsi="华文楷体" w:eastAsia="华文楷体" w:cs="华文楷体"/>
                <w:szCs w:val="21"/>
              </w:rPr>
              <w:t>其他无效情形</w:t>
            </w:r>
          </w:p>
        </w:tc>
        <w:tc>
          <w:tcPr>
            <w:tcW w:w="3906" w:type="dxa"/>
            <w:vAlign w:val="center"/>
          </w:tcPr>
          <w:p>
            <w:pPr>
              <w:spacing w:before="100" w:beforeAutospacing="1" w:after="100" w:afterAutospacing="1" w:line="160" w:lineRule="atLeast"/>
              <w:jc w:val="left"/>
              <w:rPr>
                <w:rFonts w:ascii="华文楷体" w:hAnsi="华文楷体" w:eastAsia="华文楷体" w:cs="华文楷体"/>
                <w:szCs w:val="21"/>
              </w:rPr>
            </w:pPr>
            <w:r>
              <w:rPr>
                <w:rFonts w:hint="eastAsia" w:ascii="华文楷体" w:hAnsi="华文楷体" w:eastAsia="华文楷体" w:cs="华文楷体"/>
                <w:szCs w:val="21"/>
              </w:rPr>
              <w:t>法律、法规和</w:t>
            </w:r>
            <w:r>
              <w:rPr>
                <w:rFonts w:hint="eastAsia" w:ascii="华文楷体" w:hAnsi="华文楷体" w:eastAsia="华文楷体" w:cs="华文楷体"/>
                <w:szCs w:val="21"/>
                <w:lang w:eastAsia="zh-CN"/>
              </w:rPr>
              <w:t>采购</w:t>
            </w:r>
            <w:r>
              <w:rPr>
                <w:rFonts w:hint="eastAsia" w:ascii="华文楷体" w:hAnsi="华文楷体" w:eastAsia="华文楷体" w:cs="华文楷体"/>
                <w:szCs w:val="21"/>
              </w:rPr>
              <w:t>文件规定的其他无效情形。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blHeader/>
          <w:jc w:val="center"/>
        </w:trPr>
        <w:tc>
          <w:tcPr>
            <w:tcW w:w="851" w:type="dxa"/>
            <w:vAlign w:val="center"/>
          </w:tcPr>
          <w:p>
            <w:pPr>
              <w:spacing w:before="100" w:beforeAutospacing="1" w:after="100" w:afterAutospacing="1" w:line="240" w:lineRule="atLeast"/>
              <w:jc w:val="center"/>
              <w:rPr>
                <w:rFonts w:ascii="华文楷体" w:hAnsi="华文楷体" w:eastAsia="华文楷体" w:cs="华文楷体"/>
                <w:b/>
                <w:szCs w:val="21"/>
              </w:rPr>
            </w:pPr>
            <w:r>
              <w:rPr>
                <w:rFonts w:hint="eastAsia" w:ascii="华文楷体" w:hAnsi="华文楷体" w:eastAsia="华文楷体" w:cs="华文楷体"/>
                <w:b/>
                <w:szCs w:val="21"/>
              </w:rPr>
              <w:t>条款号</w:t>
            </w:r>
          </w:p>
        </w:tc>
        <w:tc>
          <w:tcPr>
            <w:tcW w:w="1013" w:type="dxa"/>
            <w:vAlign w:val="center"/>
          </w:tcPr>
          <w:p>
            <w:pPr>
              <w:spacing w:before="100" w:beforeAutospacing="1" w:after="100" w:afterAutospacing="1" w:line="240" w:lineRule="atLeast"/>
              <w:jc w:val="center"/>
              <w:rPr>
                <w:rFonts w:ascii="华文楷体" w:hAnsi="华文楷体" w:eastAsia="华文楷体" w:cs="华文楷体"/>
                <w:b/>
                <w:szCs w:val="21"/>
              </w:rPr>
            </w:pPr>
            <w:r>
              <w:rPr>
                <w:rFonts w:hint="eastAsia" w:ascii="华文楷体" w:hAnsi="华文楷体" w:eastAsia="华文楷体" w:cs="华文楷体"/>
                <w:b/>
                <w:szCs w:val="21"/>
              </w:rPr>
              <w:t>评审程序</w:t>
            </w:r>
          </w:p>
        </w:tc>
        <w:tc>
          <w:tcPr>
            <w:tcW w:w="8181" w:type="dxa"/>
            <w:gridSpan w:val="3"/>
            <w:vAlign w:val="center"/>
          </w:tcPr>
          <w:p>
            <w:pPr>
              <w:spacing w:before="100" w:beforeAutospacing="1" w:after="100" w:afterAutospacing="1" w:line="240" w:lineRule="atLeast"/>
              <w:jc w:val="center"/>
              <w:rPr>
                <w:rFonts w:ascii="华文楷体" w:hAnsi="华文楷体" w:eastAsia="华文楷体" w:cs="华文楷体"/>
                <w:b/>
                <w:szCs w:val="21"/>
              </w:rPr>
            </w:pPr>
            <w:r>
              <w:rPr>
                <w:rFonts w:hint="eastAsia" w:ascii="华文楷体" w:hAnsi="华文楷体" w:eastAsia="华文楷体" w:cs="华文楷体"/>
                <w:b/>
                <w:szCs w:val="21"/>
              </w:rPr>
              <w:t>评 审 内 容 及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jc w:val="center"/>
        </w:trPr>
        <w:tc>
          <w:tcPr>
            <w:tcW w:w="851" w:type="dxa"/>
            <w:vMerge w:val="restart"/>
            <w:vAlign w:val="center"/>
          </w:tcPr>
          <w:p>
            <w:pPr>
              <w:spacing w:line="240" w:lineRule="atLeast"/>
              <w:jc w:val="center"/>
              <w:rPr>
                <w:rFonts w:ascii="华文楷体" w:hAnsi="华文楷体" w:eastAsia="华文楷体" w:cs="华文楷体"/>
                <w:szCs w:val="21"/>
              </w:rPr>
            </w:pPr>
            <w:r>
              <w:rPr>
                <w:rFonts w:hint="eastAsia" w:ascii="华文楷体" w:hAnsi="华文楷体" w:eastAsia="华文楷体" w:cs="华文楷体"/>
                <w:szCs w:val="21"/>
              </w:rPr>
              <w:t>3.2</w:t>
            </w:r>
          </w:p>
        </w:tc>
        <w:tc>
          <w:tcPr>
            <w:tcW w:w="1013" w:type="dxa"/>
            <w:vMerge w:val="restart"/>
            <w:vAlign w:val="center"/>
          </w:tcPr>
          <w:p>
            <w:pPr>
              <w:spacing w:line="240" w:lineRule="atLeast"/>
              <w:rPr>
                <w:rFonts w:ascii="华文楷体" w:hAnsi="华文楷体" w:eastAsia="华文楷体" w:cs="华文楷体"/>
                <w:szCs w:val="21"/>
              </w:rPr>
            </w:pPr>
            <w:r>
              <w:rPr>
                <w:rFonts w:hint="eastAsia" w:ascii="华文楷体" w:hAnsi="华文楷体" w:eastAsia="华文楷体" w:cs="华文楷体"/>
                <w:szCs w:val="21"/>
              </w:rPr>
              <w:t>详细评审标准</w:t>
            </w:r>
          </w:p>
        </w:tc>
        <w:tc>
          <w:tcPr>
            <w:tcW w:w="1593" w:type="dxa"/>
            <w:vAlign w:val="center"/>
          </w:tcPr>
          <w:p>
            <w:pPr>
              <w:spacing w:line="240" w:lineRule="atLeast"/>
              <w:jc w:val="center"/>
              <w:rPr>
                <w:rFonts w:ascii="华文楷体" w:hAnsi="华文楷体" w:eastAsia="华文楷体" w:cs="华文楷体"/>
                <w:szCs w:val="21"/>
              </w:rPr>
            </w:pPr>
            <w:r>
              <w:rPr>
                <w:rFonts w:hint="eastAsia" w:ascii="华文楷体" w:hAnsi="华文楷体" w:eastAsia="华文楷体" w:cs="华文楷体"/>
                <w:szCs w:val="21"/>
              </w:rPr>
              <w:t>1、</w:t>
            </w:r>
            <w:r>
              <w:rPr>
                <w:rFonts w:hint="eastAsia" w:ascii="华文楷体" w:hAnsi="华文楷体" w:eastAsia="华文楷体" w:cs="华文楷体"/>
                <w:szCs w:val="21"/>
                <w:lang w:eastAsia="zh-CN"/>
              </w:rPr>
              <w:t>评审</w:t>
            </w:r>
            <w:r>
              <w:rPr>
                <w:rFonts w:hint="eastAsia" w:ascii="华文楷体" w:hAnsi="华文楷体" w:eastAsia="华文楷体" w:cs="华文楷体"/>
                <w:szCs w:val="21"/>
              </w:rPr>
              <w:t>总得分计算公式</w:t>
            </w:r>
          </w:p>
        </w:tc>
        <w:tc>
          <w:tcPr>
            <w:tcW w:w="6588" w:type="dxa"/>
            <w:gridSpan w:val="2"/>
            <w:vAlign w:val="center"/>
          </w:tcPr>
          <w:p>
            <w:pPr>
              <w:spacing w:line="240" w:lineRule="atLeast"/>
              <w:rPr>
                <w:rFonts w:ascii="华文楷体" w:hAnsi="华文楷体" w:eastAsia="华文楷体" w:cs="华文楷体"/>
                <w:szCs w:val="21"/>
              </w:rPr>
            </w:pPr>
            <w:r>
              <w:rPr>
                <w:rFonts w:hint="eastAsia" w:ascii="华文楷体" w:hAnsi="华文楷体" w:eastAsia="华文楷体" w:cs="华文楷体"/>
                <w:szCs w:val="21"/>
                <w:lang w:eastAsia="zh-CN"/>
              </w:rPr>
              <w:t>响应人</w:t>
            </w:r>
            <w:r>
              <w:rPr>
                <w:rFonts w:hint="eastAsia" w:ascii="华文楷体" w:hAnsi="华文楷体" w:eastAsia="华文楷体" w:cs="华文楷体"/>
                <w:szCs w:val="21"/>
              </w:rPr>
              <w:t>的</w:t>
            </w:r>
            <w:r>
              <w:rPr>
                <w:rFonts w:hint="eastAsia" w:ascii="华文楷体" w:hAnsi="华文楷体" w:eastAsia="华文楷体" w:cs="华文楷体"/>
                <w:szCs w:val="21"/>
                <w:lang w:eastAsia="zh-CN"/>
              </w:rPr>
              <w:t>评审</w:t>
            </w:r>
            <w:r>
              <w:rPr>
                <w:rFonts w:hint="eastAsia" w:ascii="华文楷体" w:hAnsi="华文楷体" w:eastAsia="华文楷体" w:cs="华文楷体"/>
                <w:szCs w:val="21"/>
              </w:rPr>
              <w:t>总得分＝F1＋F2＋F3</w:t>
            </w:r>
          </w:p>
          <w:p>
            <w:pPr>
              <w:spacing w:line="240" w:lineRule="atLeast"/>
              <w:rPr>
                <w:rFonts w:ascii="华文楷体" w:hAnsi="华文楷体" w:eastAsia="华文楷体" w:cs="华文楷体"/>
                <w:szCs w:val="21"/>
              </w:rPr>
            </w:pPr>
            <w:r>
              <w:rPr>
                <w:rFonts w:hint="eastAsia" w:ascii="华文楷体" w:hAnsi="华文楷体" w:eastAsia="华文楷体" w:cs="华文楷体"/>
                <w:szCs w:val="21"/>
              </w:rPr>
              <w:t>其中：①F1、F2、F3分别为</w:t>
            </w:r>
            <w:r>
              <w:rPr>
                <w:rFonts w:hint="eastAsia" w:ascii="华文楷体" w:hAnsi="华文楷体" w:eastAsia="华文楷体" w:cs="华文楷体"/>
                <w:szCs w:val="21"/>
                <w:lang w:eastAsia="zh-CN"/>
              </w:rPr>
              <w:t>响应</w:t>
            </w:r>
            <w:r>
              <w:rPr>
                <w:rFonts w:hint="eastAsia" w:ascii="华文楷体" w:hAnsi="华文楷体" w:eastAsia="华文楷体" w:cs="华文楷体"/>
                <w:szCs w:val="21"/>
              </w:rPr>
              <w:t>报价、技术部分、商务部分3项评分因素的汇总得分；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line="240" w:lineRule="atLeast"/>
              <w:rPr>
                <w:rFonts w:ascii="华文楷体" w:hAnsi="华文楷体" w:eastAsia="华文楷体" w:cs="华文楷体"/>
                <w:szCs w:val="21"/>
              </w:rPr>
            </w:pPr>
          </w:p>
        </w:tc>
        <w:tc>
          <w:tcPr>
            <w:tcW w:w="1013" w:type="dxa"/>
            <w:vMerge w:val="continue"/>
            <w:vAlign w:val="center"/>
          </w:tcPr>
          <w:p>
            <w:pPr>
              <w:spacing w:line="240" w:lineRule="atLeast"/>
              <w:rPr>
                <w:rFonts w:ascii="华文楷体" w:hAnsi="华文楷体" w:eastAsia="华文楷体" w:cs="华文楷体"/>
                <w:szCs w:val="21"/>
              </w:rPr>
            </w:pPr>
          </w:p>
        </w:tc>
        <w:tc>
          <w:tcPr>
            <w:tcW w:w="1593" w:type="dxa"/>
            <w:vAlign w:val="center"/>
          </w:tcPr>
          <w:p>
            <w:pPr>
              <w:spacing w:line="240" w:lineRule="atLeast"/>
              <w:rPr>
                <w:rFonts w:ascii="华文楷体" w:hAnsi="华文楷体" w:eastAsia="华文楷体" w:cs="华文楷体"/>
                <w:szCs w:val="21"/>
              </w:rPr>
            </w:pPr>
            <w:r>
              <w:rPr>
                <w:rFonts w:hint="eastAsia" w:ascii="华文楷体" w:hAnsi="华文楷体" w:eastAsia="华文楷体" w:cs="华文楷体"/>
                <w:szCs w:val="21"/>
              </w:rPr>
              <w:t>2、评分因素</w:t>
            </w:r>
          </w:p>
          <w:p>
            <w:pPr>
              <w:spacing w:line="240" w:lineRule="atLeast"/>
              <w:rPr>
                <w:rFonts w:ascii="华文楷体" w:hAnsi="华文楷体" w:eastAsia="华文楷体" w:cs="华文楷体"/>
                <w:szCs w:val="21"/>
              </w:rPr>
            </w:pPr>
            <w:r>
              <w:rPr>
                <w:rFonts w:hint="eastAsia" w:ascii="华文楷体" w:hAnsi="华文楷体" w:eastAsia="华文楷体" w:cs="华文楷体"/>
                <w:szCs w:val="21"/>
              </w:rPr>
              <w:t>分值及权重</w:t>
            </w:r>
          </w:p>
        </w:tc>
        <w:tc>
          <w:tcPr>
            <w:tcW w:w="6588" w:type="dxa"/>
            <w:gridSpan w:val="2"/>
            <w:vAlign w:val="center"/>
          </w:tcPr>
          <w:p>
            <w:pPr>
              <w:spacing w:line="240" w:lineRule="atLeast"/>
              <w:ind w:left="1258" w:hanging="1258"/>
              <w:rPr>
                <w:rFonts w:ascii="华文楷体" w:hAnsi="华文楷体" w:eastAsia="华文楷体" w:cs="华文楷体"/>
                <w:szCs w:val="21"/>
              </w:rPr>
            </w:pPr>
            <w:r>
              <w:rPr>
                <w:rFonts w:hint="eastAsia" w:ascii="华文楷体" w:hAnsi="华文楷体" w:eastAsia="华文楷体" w:cs="华文楷体"/>
                <w:szCs w:val="21"/>
                <w:lang w:eastAsia="zh-CN"/>
              </w:rPr>
              <w:t>响应</w:t>
            </w:r>
            <w:r>
              <w:rPr>
                <w:rFonts w:hint="eastAsia" w:ascii="华文楷体" w:hAnsi="华文楷体" w:eastAsia="华文楷体" w:cs="华文楷体"/>
                <w:szCs w:val="21"/>
              </w:rPr>
              <w:t>报价F1：满分30分。技术部分F2：满分40分。</w:t>
            </w:r>
          </w:p>
          <w:p>
            <w:pPr>
              <w:spacing w:line="240" w:lineRule="atLeast"/>
              <w:ind w:left="1258" w:hanging="1258"/>
              <w:rPr>
                <w:rFonts w:ascii="华文楷体" w:hAnsi="华文楷体" w:eastAsia="华文楷体" w:cs="华文楷体"/>
                <w:szCs w:val="21"/>
              </w:rPr>
            </w:pPr>
            <w:r>
              <w:rPr>
                <w:rFonts w:hint="eastAsia" w:ascii="华文楷体" w:hAnsi="华文楷体" w:eastAsia="华文楷体" w:cs="华文楷体"/>
                <w:szCs w:val="21"/>
              </w:rPr>
              <w:t>商务部分F3：满分30分。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line="240" w:lineRule="atLeast"/>
              <w:rPr>
                <w:rFonts w:ascii="华文楷体" w:hAnsi="华文楷体" w:eastAsia="华文楷体" w:cs="华文楷体"/>
                <w:szCs w:val="21"/>
              </w:rPr>
            </w:pPr>
          </w:p>
        </w:tc>
        <w:tc>
          <w:tcPr>
            <w:tcW w:w="1013" w:type="dxa"/>
            <w:vMerge w:val="continue"/>
            <w:vAlign w:val="center"/>
          </w:tcPr>
          <w:p>
            <w:pPr>
              <w:spacing w:line="240" w:lineRule="atLeast"/>
              <w:rPr>
                <w:rFonts w:ascii="华文楷体" w:hAnsi="华文楷体" w:eastAsia="华文楷体" w:cs="华文楷体"/>
                <w:szCs w:val="21"/>
              </w:rPr>
            </w:pPr>
          </w:p>
        </w:tc>
        <w:tc>
          <w:tcPr>
            <w:tcW w:w="1593" w:type="dxa"/>
            <w:tcBorders>
              <w:bottom w:val="single" w:color="auto" w:sz="4" w:space="0"/>
            </w:tcBorders>
            <w:vAlign w:val="center"/>
          </w:tcPr>
          <w:p>
            <w:pPr>
              <w:spacing w:line="240" w:lineRule="atLeast"/>
              <w:jc w:val="center"/>
              <w:rPr>
                <w:rFonts w:ascii="华文楷体" w:hAnsi="华文楷体" w:eastAsia="华文楷体" w:cs="华文楷体"/>
                <w:szCs w:val="21"/>
              </w:rPr>
            </w:pPr>
            <w:r>
              <w:rPr>
                <w:rFonts w:hint="eastAsia" w:ascii="华文楷体" w:hAnsi="华文楷体" w:eastAsia="华文楷体" w:cs="华文楷体"/>
                <w:szCs w:val="21"/>
              </w:rPr>
              <w:t>3、</w:t>
            </w:r>
            <w:r>
              <w:rPr>
                <w:rFonts w:hint="eastAsia" w:ascii="华文楷体" w:hAnsi="华文楷体" w:eastAsia="华文楷体" w:cs="华文楷体"/>
                <w:szCs w:val="21"/>
                <w:lang w:eastAsia="zh-CN"/>
              </w:rPr>
              <w:t>响应</w:t>
            </w:r>
            <w:r>
              <w:rPr>
                <w:rFonts w:hint="eastAsia" w:ascii="华文楷体" w:hAnsi="华文楷体" w:eastAsia="华文楷体" w:cs="华文楷体"/>
                <w:szCs w:val="21"/>
              </w:rPr>
              <w:t>报价</w:t>
            </w:r>
          </w:p>
          <w:p>
            <w:pPr>
              <w:spacing w:line="240" w:lineRule="atLeast"/>
              <w:jc w:val="center"/>
              <w:rPr>
                <w:rFonts w:ascii="华文楷体" w:hAnsi="华文楷体" w:eastAsia="华文楷体" w:cs="华文楷体"/>
                <w:szCs w:val="21"/>
              </w:rPr>
            </w:pPr>
            <w:r>
              <w:rPr>
                <w:rFonts w:hint="eastAsia" w:ascii="华文楷体" w:hAnsi="华文楷体" w:eastAsia="华文楷体" w:cs="华文楷体"/>
                <w:szCs w:val="21"/>
              </w:rPr>
              <w:t>评审F1</w:t>
            </w:r>
          </w:p>
          <w:p>
            <w:pPr>
              <w:spacing w:line="240" w:lineRule="atLeast"/>
              <w:rPr>
                <w:rFonts w:ascii="华文楷体" w:hAnsi="华文楷体" w:eastAsia="华文楷体" w:cs="华文楷体"/>
                <w:szCs w:val="21"/>
              </w:rPr>
            </w:pPr>
            <w:r>
              <w:rPr>
                <w:rFonts w:hint="eastAsia" w:ascii="华文楷体" w:hAnsi="华文楷体" w:eastAsia="华文楷体" w:cs="华文楷体"/>
                <w:szCs w:val="21"/>
              </w:rPr>
              <w:t>（满分30分）</w:t>
            </w:r>
          </w:p>
        </w:tc>
        <w:tc>
          <w:tcPr>
            <w:tcW w:w="6588" w:type="dxa"/>
            <w:gridSpan w:val="2"/>
            <w:tcBorders>
              <w:bottom w:val="single" w:color="auto" w:sz="4" w:space="0"/>
            </w:tcBorders>
            <w:vAlign w:val="center"/>
          </w:tcPr>
          <w:p>
            <w:pPr>
              <w:adjustRightInd w:val="0"/>
              <w:spacing w:line="240" w:lineRule="atLeast"/>
              <w:rPr>
                <w:rFonts w:ascii="华文楷体" w:hAnsi="华文楷体" w:eastAsia="华文楷体" w:cs="华文楷体"/>
                <w:szCs w:val="21"/>
              </w:rPr>
            </w:pPr>
            <w:r>
              <w:rPr>
                <w:rFonts w:hint="eastAsia" w:ascii="华文楷体" w:hAnsi="华文楷体" w:eastAsia="华文楷体" w:cs="华文楷体"/>
                <w:szCs w:val="21"/>
                <w:lang w:eastAsia="zh-CN"/>
              </w:rPr>
              <w:t>响应</w:t>
            </w:r>
            <w:r>
              <w:rPr>
                <w:rFonts w:hint="eastAsia" w:ascii="华文楷体" w:hAnsi="华文楷体" w:eastAsia="华文楷体" w:cs="华文楷体"/>
                <w:szCs w:val="21"/>
              </w:rPr>
              <w:t xml:space="preserve">报价计算公式= </w:t>
            </w:r>
            <w:r>
              <w:rPr>
                <w:rFonts w:hint="eastAsia" w:ascii="华文楷体" w:hAnsi="华文楷体" w:eastAsia="华文楷体" w:cs="华文楷体"/>
                <w:position w:val="-26"/>
                <w:szCs w:val="21"/>
              </w:rPr>
              <w:object>
                <v:shape id="_x0000_i1025" o:spt="75" type="#_x0000_t75" style="height:36pt;width:77.6pt;" o:ole="t" filled="f" o:preferrelative="t" stroked="f" coordsize="21600,21600">
                  <v:path/>
                  <v:fill on="f" focussize="0,0"/>
                  <v:stroke on="f" joinstyle="miter"/>
                  <v:imagedata r:id="rId5" o:title="341228446826312"/>
                  <o:lock v:ext="edit" aspectratio="t"/>
                  <w10:wrap type="none"/>
                  <w10:anchorlock/>
                </v:shape>
                <o:OLEObject Type="Embed" ProgID="Equation.3" ShapeID="_x0000_i1025" DrawAspect="Content" ObjectID="_1468075725" r:id="rId4">
                  <o:LockedField>false</o:LockedField>
                </o:OLEObject>
              </w:object>
            </w:r>
            <w:r>
              <w:rPr>
                <w:rFonts w:hint="eastAsia" w:ascii="华文楷体" w:hAnsi="华文楷体" w:eastAsia="华文楷体" w:cs="华文楷体"/>
                <w:szCs w:val="21"/>
              </w:rPr>
              <w:t>×30</w:t>
            </w:r>
          </w:p>
          <w:p>
            <w:pPr>
              <w:adjustRightInd w:val="0"/>
              <w:spacing w:line="240" w:lineRule="atLeast"/>
              <w:rPr>
                <w:rFonts w:ascii="华文楷体" w:hAnsi="华文楷体" w:eastAsia="华文楷体" w:cs="华文楷体"/>
                <w:szCs w:val="21"/>
              </w:rPr>
            </w:pPr>
            <w:r>
              <w:rPr>
                <w:rFonts w:hint="eastAsia" w:ascii="华文楷体" w:hAnsi="华文楷体" w:eastAsia="华文楷体" w:cs="华文楷体"/>
                <w:szCs w:val="21"/>
              </w:rPr>
              <w:t>即：F1=[C/（B1，B2，…，Bn）]×30</w:t>
            </w:r>
          </w:p>
          <w:p>
            <w:pPr>
              <w:adjustRightInd w:val="0"/>
              <w:spacing w:line="240" w:lineRule="atLeast"/>
              <w:rPr>
                <w:rFonts w:hint="eastAsia" w:ascii="华文楷体" w:hAnsi="华文楷体" w:eastAsia="华文楷体" w:cs="华文楷体"/>
                <w:szCs w:val="21"/>
              </w:rPr>
            </w:pPr>
            <w:r>
              <w:rPr>
                <w:rFonts w:hint="eastAsia" w:ascii="华文楷体" w:hAnsi="华文楷体" w:eastAsia="华文楷体" w:cs="华文楷体"/>
                <w:szCs w:val="21"/>
              </w:rPr>
              <w:t>注：C为</w:t>
            </w:r>
            <w:r>
              <w:rPr>
                <w:rFonts w:hint="eastAsia" w:ascii="华文楷体" w:hAnsi="华文楷体" w:eastAsia="华文楷体" w:cs="华文楷体"/>
                <w:szCs w:val="21"/>
                <w:lang w:eastAsia="zh-CN"/>
              </w:rPr>
              <w:t>评审</w:t>
            </w:r>
            <w:r>
              <w:rPr>
                <w:rFonts w:hint="eastAsia" w:ascii="华文楷体" w:hAnsi="华文楷体" w:eastAsia="华文楷体" w:cs="华文楷体"/>
                <w:szCs w:val="21"/>
              </w:rPr>
              <w:t>基准价，即经初步审查合格且</w:t>
            </w:r>
            <w:r>
              <w:rPr>
                <w:rFonts w:hint="eastAsia" w:ascii="华文楷体" w:hAnsi="华文楷体" w:eastAsia="华文楷体" w:cs="华文楷体"/>
                <w:szCs w:val="21"/>
                <w:lang w:eastAsia="zh-CN"/>
              </w:rPr>
              <w:t>响应</w:t>
            </w:r>
            <w:r>
              <w:rPr>
                <w:rFonts w:hint="eastAsia" w:ascii="华文楷体" w:hAnsi="华文楷体" w:eastAsia="华文楷体" w:cs="华文楷体"/>
                <w:szCs w:val="21"/>
              </w:rPr>
              <w:t>价格最低的有效</w:t>
            </w:r>
            <w:r>
              <w:rPr>
                <w:rFonts w:hint="eastAsia" w:ascii="华文楷体" w:hAnsi="华文楷体" w:eastAsia="华文楷体" w:cs="华文楷体"/>
                <w:szCs w:val="21"/>
                <w:lang w:val="en-US" w:eastAsia="zh-CN"/>
              </w:rPr>
              <w:t>加权</w:t>
            </w:r>
            <w:r>
              <w:rPr>
                <w:rFonts w:hint="eastAsia" w:ascii="华文楷体" w:hAnsi="华文楷体" w:eastAsia="华文楷体" w:cs="华文楷体"/>
                <w:szCs w:val="21"/>
              </w:rPr>
              <w:t>报价；B1，B2，…，Bn为第n个经初步审查合格的</w:t>
            </w:r>
            <w:r>
              <w:rPr>
                <w:rFonts w:hint="eastAsia" w:ascii="华文楷体" w:hAnsi="华文楷体" w:eastAsia="华文楷体" w:cs="华文楷体"/>
                <w:szCs w:val="21"/>
                <w:lang w:val="en-US" w:eastAsia="zh-CN"/>
              </w:rPr>
              <w:t>加权</w:t>
            </w:r>
            <w:r>
              <w:rPr>
                <w:rFonts w:hint="eastAsia" w:ascii="华文楷体" w:hAnsi="华文楷体" w:eastAsia="华文楷体" w:cs="华文楷体"/>
                <w:szCs w:val="21"/>
              </w:rPr>
              <w:t>报价</w:t>
            </w:r>
            <w:r>
              <w:rPr>
                <w:rFonts w:hint="eastAsia" w:ascii="华文楷体" w:hAnsi="华文楷体" w:eastAsia="华文楷体" w:cs="华文楷体"/>
                <w:szCs w:val="21"/>
                <w:lang w:eastAsia="zh-CN"/>
              </w:rPr>
              <w:t>；</w:t>
            </w:r>
            <w:r>
              <w:rPr>
                <w:rFonts w:hint="eastAsia" w:ascii="华文楷体" w:hAnsi="华文楷体" w:eastAsia="华文楷体" w:cs="华文楷体"/>
                <w:szCs w:val="21"/>
                <w:lang w:val="en-US" w:eastAsia="zh-CN"/>
              </w:rPr>
              <w:t>加权报价计算公式为：Bn=∑d</w:t>
            </w:r>
            <w:r>
              <w:rPr>
                <w:rFonts w:hint="eastAsia" w:ascii="华文楷体" w:hAnsi="华文楷体" w:eastAsia="华文楷体" w:cs="华文楷体"/>
                <w:szCs w:val="21"/>
                <w:vertAlign w:val="subscript"/>
                <w:lang w:val="en-US" w:eastAsia="zh-CN"/>
              </w:rPr>
              <w:t>i</w:t>
            </w:r>
            <w:r>
              <w:rPr>
                <w:rFonts w:hint="eastAsia" w:ascii="华文楷体" w:hAnsi="华文楷体" w:eastAsia="华文楷体" w:cs="华文楷体"/>
                <w:szCs w:val="21"/>
                <w:lang w:val="en-US" w:eastAsia="zh-CN"/>
              </w:rPr>
              <w:t>*w</w:t>
            </w:r>
            <w:r>
              <w:rPr>
                <w:rFonts w:hint="eastAsia" w:ascii="华文楷体" w:hAnsi="华文楷体" w:eastAsia="华文楷体" w:cs="华文楷体"/>
                <w:szCs w:val="21"/>
                <w:vertAlign w:val="subscript"/>
                <w:lang w:val="en-US" w:eastAsia="zh-CN"/>
              </w:rPr>
              <w:t>i</w:t>
            </w:r>
            <w:r>
              <w:rPr>
                <w:rFonts w:hint="eastAsia" w:ascii="华文楷体" w:hAnsi="华文楷体" w:eastAsia="华文楷体" w:cs="华文楷体"/>
                <w:szCs w:val="21"/>
                <w:vertAlign w:val="baseline"/>
                <w:lang w:val="en-US" w:eastAsia="zh-CN"/>
              </w:rPr>
              <w:t>，其中di为第i个规格型号的报价，wi为第i个规格的价格权重，加权报价B的计算原则上由各供应商完成，如计算错误，将被视为无效响应。采购文件中未说明权重的，品规型号多的，由评审专家组确定指定代表品及其权重，代表品数量可以为一种或多种，选取原则为预计年用量、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line="240" w:lineRule="atLeast"/>
              <w:jc w:val="center"/>
              <w:rPr>
                <w:rFonts w:ascii="华文楷体" w:hAnsi="华文楷体" w:eastAsia="华文楷体" w:cs="华文楷体"/>
                <w:szCs w:val="21"/>
              </w:rPr>
            </w:pPr>
            <w:r>
              <w:rPr>
                <w:rFonts w:hint="eastAsia" w:ascii="华文楷体" w:hAnsi="华文楷体" w:eastAsia="华文楷体" w:cs="华文楷体"/>
                <w:szCs w:val="21"/>
              </w:rPr>
              <w:t>3.3</w:t>
            </w:r>
          </w:p>
        </w:tc>
        <w:tc>
          <w:tcPr>
            <w:tcW w:w="1013" w:type="dxa"/>
            <w:vMerge w:val="restart"/>
            <w:vAlign w:val="center"/>
          </w:tcPr>
          <w:p>
            <w:pPr>
              <w:spacing w:line="240" w:lineRule="atLeast"/>
              <w:rPr>
                <w:rFonts w:ascii="华文楷体" w:hAnsi="华文楷体" w:eastAsia="华文楷体" w:cs="华文楷体"/>
                <w:szCs w:val="21"/>
              </w:rPr>
            </w:pPr>
            <w:r>
              <w:rPr>
                <w:rFonts w:hint="eastAsia" w:ascii="华文楷体" w:hAnsi="华文楷体" w:eastAsia="华文楷体" w:cs="华文楷体"/>
                <w:szCs w:val="21"/>
              </w:rPr>
              <w:t>详细评审标准</w:t>
            </w:r>
          </w:p>
        </w:tc>
        <w:tc>
          <w:tcPr>
            <w:tcW w:w="1593" w:type="dxa"/>
            <w:shd w:val="clear" w:color="auto" w:fill="auto"/>
            <w:vAlign w:val="center"/>
          </w:tcPr>
          <w:p>
            <w:pPr>
              <w:spacing w:line="240" w:lineRule="atLeast"/>
              <w:jc w:val="center"/>
              <w:rPr>
                <w:rFonts w:ascii="华文楷体" w:hAnsi="华文楷体" w:eastAsia="华文楷体" w:cs="华文楷体"/>
                <w:szCs w:val="21"/>
              </w:rPr>
            </w:pPr>
            <w:r>
              <w:rPr>
                <w:rFonts w:hint="eastAsia" w:ascii="华文楷体" w:hAnsi="华文楷体" w:eastAsia="华文楷体" w:cs="华文楷体"/>
                <w:szCs w:val="21"/>
              </w:rPr>
              <w:t>4、技术部分</w:t>
            </w:r>
          </w:p>
          <w:p>
            <w:pPr>
              <w:spacing w:line="240" w:lineRule="atLeast"/>
              <w:jc w:val="center"/>
              <w:rPr>
                <w:rFonts w:ascii="华文楷体" w:hAnsi="华文楷体" w:eastAsia="华文楷体" w:cs="华文楷体"/>
                <w:szCs w:val="21"/>
              </w:rPr>
            </w:pPr>
            <w:r>
              <w:rPr>
                <w:rFonts w:hint="eastAsia" w:ascii="华文楷体" w:hAnsi="华文楷体" w:eastAsia="华文楷体" w:cs="华文楷体"/>
                <w:szCs w:val="21"/>
              </w:rPr>
              <w:t>评审F2</w:t>
            </w:r>
          </w:p>
          <w:p>
            <w:pPr>
              <w:spacing w:line="240" w:lineRule="atLeast"/>
              <w:jc w:val="center"/>
              <w:rPr>
                <w:rFonts w:ascii="华文楷体" w:hAnsi="华文楷体" w:eastAsia="华文楷体" w:cs="华文楷体"/>
                <w:szCs w:val="21"/>
              </w:rPr>
            </w:pPr>
            <w:r>
              <w:rPr>
                <w:rFonts w:hint="eastAsia" w:ascii="华文楷体" w:hAnsi="华文楷体" w:eastAsia="华文楷体" w:cs="华文楷体"/>
                <w:szCs w:val="21"/>
              </w:rPr>
              <w:t>（满分40分）</w:t>
            </w:r>
          </w:p>
        </w:tc>
        <w:tc>
          <w:tcPr>
            <w:tcW w:w="6588" w:type="dxa"/>
            <w:gridSpan w:val="2"/>
            <w:shd w:val="clear" w:color="auto" w:fill="auto"/>
            <w:vAlign w:val="center"/>
          </w:tcPr>
          <w:p>
            <w:pPr>
              <w:snapToGrid w:val="0"/>
              <w:spacing w:line="240" w:lineRule="atLeast"/>
              <w:jc w:val="left"/>
              <w:rPr>
                <w:rFonts w:hint="eastAsia" w:ascii="华文楷体" w:hAnsi="华文楷体" w:eastAsia="华文楷体" w:cs="华文楷体"/>
                <w:b/>
                <w:bCs/>
                <w:szCs w:val="21"/>
              </w:rPr>
            </w:pPr>
            <w:r>
              <w:rPr>
                <w:rFonts w:hint="eastAsia" w:ascii="华文楷体" w:hAnsi="华文楷体" w:eastAsia="华文楷体" w:cs="华文楷体"/>
                <w:b/>
                <w:bCs/>
                <w:szCs w:val="21"/>
              </w:rPr>
              <w:t>1.技术</w:t>
            </w:r>
            <w:r>
              <w:rPr>
                <w:rFonts w:hint="eastAsia" w:ascii="华文楷体" w:hAnsi="华文楷体" w:eastAsia="华文楷体" w:cs="华文楷体"/>
                <w:b/>
                <w:bCs/>
                <w:szCs w:val="21"/>
                <w:lang w:eastAsia="zh-CN"/>
              </w:rPr>
              <w:t>、</w:t>
            </w:r>
            <w:r>
              <w:rPr>
                <w:rFonts w:hint="eastAsia" w:ascii="华文楷体" w:hAnsi="华文楷体" w:eastAsia="华文楷体" w:cs="华文楷体"/>
                <w:b/>
                <w:bCs/>
                <w:szCs w:val="21"/>
              </w:rPr>
              <w:t>样品评审(满分</w:t>
            </w:r>
            <w:r>
              <w:rPr>
                <w:rFonts w:hint="eastAsia" w:ascii="华文楷体" w:hAnsi="华文楷体" w:eastAsia="华文楷体" w:cs="华文楷体"/>
                <w:b/>
                <w:bCs/>
                <w:szCs w:val="21"/>
                <w:lang w:val="en-US" w:eastAsia="zh-CN"/>
              </w:rPr>
              <w:t>3</w:t>
            </w:r>
            <w:r>
              <w:rPr>
                <w:rFonts w:hint="eastAsia" w:ascii="华文楷体" w:hAnsi="华文楷体" w:eastAsia="华文楷体" w:cs="华文楷体"/>
                <w:b/>
                <w:bCs/>
                <w:szCs w:val="21"/>
              </w:rPr>
              <w:t>5分)</w:t>
            </w:r>
          </w:p>
          <w:p>
            <w:pPr>
              <w:snapToGrid w:val="0"/>
              <w:spacing w:line="240" w:lineRule="atLeast"/>
              <w:jc w:val="left"/>
              <w:rPr>
                <w:rFonts w:hint="eastAsia" w:ascii="华文楷体" w:hAnsi="华文楷体" w:eastAsia="华文楷体" w:cs="华文楷体"/>
                <w:szCs w:val="21"/>
              </w:rPr>
            </w:pPr>
            <w:r>
              <w:rPr>
                <w:rFonts w:hint="eastAsia" w:ascii="华文楷体" w:hAnsi="华文楷体" w:eastAsia="华文楷体" w:cs="华文楷体"/>
                <w:b/>
                <w:bCs/>
                <w:szCs w:val="21"/>
              </w:rPr>
              <w:t>第一档次：</w:t>
            </w:r>
            <w:r>
              <w:rPr>
                <w:rFonts w:hint="eastAsia" w:ascii="华文楷体" w:hAnsi="华文楷体" w:eastAsia="华文楷体" w:cs="华文楷体"/>
                <w:szCs w:val="21"/>
              </w:rPr>
              <w:t xml:space="preserve">样品规格提供齐全、外观完好、质量优越、材质精良、设计精致、标识完整，得 </w:t>
            </w:r>
            <w:r>
              <w:rPr>
                <w:rFonts w:hint="eastAsia" w:ascii="华文楷体" w:hAnsi="华文楷体" w:eastAsia="华文楷体" w:cs="华文楷体"/>
                <w:szCs w:val="21"/>
                <w:lang w:val="en-US" w:eastAsia="zh-CN"/>
              </w:rPr>
              <w:t>24</w:t>
            </w:r>
            <w:r>
              <w:rPr>
                <w:rFonts w:hint="eastAsia" w:ascii="华文楷体" w:hAnsi="华文楷体" w:eastAsia="华文楷体" w:cs="华文楷体"/>
                <w:szCs w:val="21"/>
              </w:rPr>
              <w:t>-</w:t>
            </w:r>
            <w:r>
              <w:rPr>
                <w:rFonts w:hint="eastAsia" w:ascii="华文楷体" w:hAnsi="华文楷体" w:eastAsia="华文楷体" w:cs="华文楷体"/>
                <w:szCs w:val="21"/>
                <w:lang w:val="en-US" w:eastAsia="zh-CN"/>
              </w:rPr>
              <w:t>3</w:t>
            </w:r>
            <w:r>
              <w:rPr>
                <w:rFonts w:hint="eastAsia" w:ascii="华文楷体" w:hAnsi="华文楷体" w:eastAsia="华文楷体" w:cs="华文楷体"/>
                <w:szCs w:val="21"/>
              </w:rPr>
              <w:t>5 分；</w:t>
            </w:r>
          </w:p>
          <w:p>
            <w:pPr>
              <w:snapToGrid w:val="0"/>
              <w:spacing w:line="240" w:lineRule="atLeast"/>
              <w:jc w:val="left"/>
              <w:rPr>
                <w:rFonts w:hint="eastAsia" w:ascii="华文楷体" w:hAnsi="华文楷体" w:eastAsia="华文楷体" w:cs="华文楷体"/>
                <w:szCs w:val="21"/>
              </w:rPr>
            </w:pPr>
            <w:r>
              <w:rPr>
                <w:rFonts w:hint="eastAsia" w:ascii="华文楷体" w:hAnsi="华文楷体" w:eastAsia="华文楷体" w:cs="华文楷体"/>
                <w:b/>
                <w:bCs/>
                <w:szCs w:val="21"/>
              </w:rPr>
              <w:t>第二档次：</w:t>
            </w:r>
            <w:r>
              <w:rPr>
                <w:rFonts w:hint="eastAsia" w:ascii="华文楷体" w:hAnsi="华文楷体" w:eastAsia="华文楷体" w:cs="华文楷体"/>
                <w:szCs w:val="21"/>
              </w:rPr>
              <w:t xml:space="preserve">样品规格提供基本齐全、外观普通、质量材质粗糙、样品外观无明显瑕疵或变形、设计正常，得 </w:t>
            </w:r>
            <w:r>
              <w:rPr>
                <w:rFonts w:hint="eastAsia" w:ascii="华文楷体" w:hAnsi="华文楷体" w:eastAsia="华文楷体" w:cs="华文楷体"/>
                <w:szCs w:val="21"/>
                <w:lang w:val="en-US" w:eastAsia="zh-CN"/>
              </w:rPr>
              <w:t>12-23</w:t>
            </w:r>
            <w:r>
              <w:rPr>
                <w:rFonts w:hint="eastAsia" w:ascii="华文楷体" w:hAnsi="华文楷体" w:eastAsia="华文楷体" w:cs="华文楷体"/>
                <w:szCs w:val="21"/>
              </w:rPr>
              <w:t xml:space="preserve"> 分；</w:t>
            </w:r>
          </w:p>
          <w:p>
            <w:pPr>
              <w:snapToGrid w:val="0"/>
              <w:spacing w:line="240" w:lineRule="atLeast"/>
              <w:jc w:val="left"/>
              <w:rPr>
                <w:rFonts w:hint="eastAsia" w:ascii="华文楷体" w:hAnsi="华文楷体" w:eastAsia="华文楷体" w:cs="华文楷体"/>
                <w:szCs w:val="21"/>
              </w:rPr>
            </w:pPr>
            <w:r>
              <w:rPr>
                <w:rFonts w:hint="eastAsia" w:ascii="华文楷体" w:hAnsi="华文楷体" w:eastAsia="华文楷体" w:cs="华文楷体"/>
                <w:b/>
                <w:bCs/>
                <w:szCs w:val="21"/>
              </w:rPr>
              <w:t>第三档次：</w:t>
            </w:r>
            <w:r>
              <w:rPr>
                <w:rFonts w:hint="eastAsia" w:ascii="华文楷体" w:hAnsi="华文楷体" w:eastAsia="华文楷体" w:cs="华文楷体"/>
                <w:szCs w:val="21"/>
              </w:rPr>
              <w:t>外观粗糙、设计粗劣，材质粗糙、样品外观存在瑕疵或变形，得 0-</w:t>
            </w:r>
            <w:r>
              <w:rPr>
                <w:rFonts w:hint="eastAsia" w:ascii="华文楷体" w:hAnsi="华文楷体" w:eastAsia="华文楷体" w:cs="华文楷体"/>
                <w:szCs w:val="21"/>
                <w:lang w:val="en-US" w:eastAsia="zh-CN"/>
              </w:rPr>
              <w:t>11</w:t>
            </w:r>
            <w:r>
              <w:rPr>
                <w:rFonts w:hint="eastAsia" w:ascii="华文楷体" w:hAnsi="华文楷体" w:eastAsia="华文楷体" w:cs="华文楷体"/>
                <w:szCs w:val="21"/>
              </w:rPr>
              <w:t xml:space="preserve"> 分。</w:t>
            </w:r>
            <w:bookmarkStart w:id="36" w:name="_GoBack"/>
            <w:bookmarkEnd w:id="36"/>
          </w:p>
          <w:p>
            <w:pPr>
              <w:snapToGrid w:val="0"/>
              <w:spacing w:line="240" w:lineRule="atLeast"/>
              <w:jc w:val="left"/>
              <w:rPr>
                <w:rFonts w:hint="eastAsia" w:ascii="华文楷体" w:hAnsi="华文楷体" w:eastAsia="华文楷体" w:cs="华文楷体"/>
                <w:b/>
                <w:bCs/>
                <w:szCs w:val="21"/>
              </w:rPr>
            </w:pPr>
            <w:r>
              <w:rPr>
                <w:rFonts w:hint="eastAsia" w:ascii="华文楷体" w:hAnsi="华文楷体" w:eastAsia="华文楷体" w:cs="华文楷体"/>
                <w:b/>
                <w:bCs/>
                <w:szCs w:val="21"/>
                <w:lang w:val="en-US" w:eastAsia="zh-CN"/>
              </w:rPr>
              <w:t>2</w:t>
            </w:r>
            <w:r>
              <w:rPr>
                <w:rFonts w:hint="eastAsia" w:ascii="华文楷体" w:hAnsi="华文楷体" w:eastAsia="华文楷体" w:cs="华文楷体"/>
                <w:b/>
                <w:bCs/>
                <w:szCs w:val="21"/>
              </w:rPr>
              <w:t>.响应材料评审（满分5分）</w:t>
            </w:r>
          </w:p>
          <w:p>
            <w:pPr>
              <w:snapToGrid w:val="0"/>
              <w:spacing w:line="240" w:lineRule="atLeast"/>
              <w:jc w:val="left"/>
              <w:rPr>
                <w:rFonts w:hint="eastAsia" w:ascii="华文楷体" w:hAnsi="华文楷体" w:eastAsia="华文楷体" w:cs="华文楷体"/>
                <w:szCs w:val="21"/>
              </w:rPr>
            </w:pPr>
            <w:r>
              <w:rPr>
                <w:rFonts w:hint="eastAsia" w:ascii="华文楷体" w:hAnsi="华文楷体" w:eastAsia="华文楷体" w:cs="华文楷体"/>
                <w:b/>
                <w:bCs/>
                <w:szCs w:val="21"/>
              </w:rPr>
              <w:t>第一档次：</w:t>
            </w:r>
            <w:r>
              <w:rPr>
                <w:rFonts w:hint="eastAsia" w:ascii="华文楷体" w:hAnsi="华文楷体" w:eastAsia="华文楷体" w:cs="华文楷体"/>
                <w:szCs w:val="21"/>
              </w:rPr>
              <w:t>响应人所投产品的技术文档，包含但不限于1.产品质量和企业管理体系认证质量管理体系认证包括FDA、CE、ISO等认证；2.其他证书：产品在技术、节能、安全、环保和自主创新方面获得的认证证书或制造厂家和产品所获国家级荣誉称号等复印或扫描件；3.产品说明书或与响应产品一致的彩页资料和其他有关介绍资料。提供齐全、详细、表述准确完整</w:t>
            </w:r>
            <w:r>
              <w:rPr>
                <w:rFonts w:hint="eastAsia" w:ascii="华文楷体" w:hAnsi="华文楷体" w:eastAsia="华文楷体" w:cs="华文楷体"/>
                <w:szCs w:val="21"/>
                <w:lang w:eastAsia="zh-CN"/>
              </w:rPr>
              <w:t>，</w:t>
            </w:r>
            <w:r>
              <w:rPr>
                <w:rFonts w:hint="eastAsia" w:ascii="华文楷体" w:hAnsi="华文楷体" w:eastAsia="华文楷体" w:cs="华文楷体"/>
                <w:szCs w:val="21"/>
              </w:rPr>
              <w:t>得4-5分；</w:t>
            </w:r>
          </w:p>
          <w:p>
            <w:pPr>
              <w:snapToGrid w:val="0"/>
              <w:spacing w:line="240" w:lineRule="atLeast"/>
              <w:jc w:val="left"/>
              <w:rPr>
                <w:rFonts w:hint="eastAsia" w:ascii="华文楷体" w:hAnsi="华文楷体" w:eastAsia="华文楷体" w:cs="华文楷体"/>
                <w:szCs w:val="21"/>
              </w:rPr>
            </w:pPr>
            <w:r>
              <w:rPr>
                <w:rFonts w:hint="eastAsia" w:ascii="华文楷体" w:hAnsi="华文楷体" w:eastAsia="华文楷体" w:cs="华文楷体"/>
                <w:b/>
                <w:bCs/>
                <w:szCs w:val="21"/>
              </w:rPr>
              <w:t>第二档次：</w:t>
            </w:r>
            <w:r>
              <w:rPr>
                <w:rFonts w:hint="eastAsia" w:ascii="华文楷体" w:hAnsi="华文楷体" w:eastAsia="华文楷体" w:cs="华文楷体"/>
                <w:szCs w:val="21"/>
              </w:rPr>
              <w:t>响应人所投产品的技术文档（同上档次内容）提供基本齐全、表述粗略、简单</w:t>
            </w:r>
            <w:r>
              <w:rPr>
                <w:rFonts w:hint="eastAsia" w:ascii="华文楷体" w:hAnsi="华文楷体" w:eastAsia="华文楷体" w:cs="华文楷体"/>
                <w:szCs w:val="21"/>
                <w:lang w:eastAsia="zh-CN"/>
              </w:rPr>
              <w:t>，</w:t>
            </w:r>
            <w:r>
              <w:rPr>
                <w:rFonts w:hint="eastAsia" w:ascii="华文楷体" w:hAnsi="华文楷体" w:eastAsia="华文楷体" w:cs="华文楷体"/>
                <w:szCs w:val="21"/>
              </w:rPr>
              <w:t>得2-3分；</w:t>
            </w:r>
          </w:p>
          <w:p>
            <w:pPr>
              <w:snapToGrid w:val="0"/>
              <w:spacing w:line="240" w:lineRule="atLeast"/>
              <w:jc w:val="left"/>
              <w:rPr>
                <w:rFonts w:ascii="华文楷体" w:hAnsi="华文楷体" w:eastAsia="华文楷体" w:cs="华文楷体"/>
                <w:szCs w:val="21"/>
              </w:rPr>
            </w:pPr>
            <w:r>
              <w:rPr>
                <w:rFonts w:hint="eastAsia" w:ascii="华文楷体" w:hAnsi="华文楷体" w:eastAsia="华文楷体" w:cs="华文楷体"/>
                <w:b/>
                <w:bCs/>
                <w:szCs w:val="21"/>
              </w:rPr>
              <w:t>第三档次：</w:t>
            </w:r>
            <w:r>
              <w:rPr>
                <w:rFonts w:hint="eastAsia" w:ascii="华文楷体" w:hAnsi="华文楷体" w:eastAsia="华文楷体" w:cs="华文楷体"/>
                <w:szCs w:val="21"/>
              </w:rPr>
              <w:t>响应人所投产品的技术文档（同上档次内容）提供不全、表述不完整</w:t>
            </w:r>
            <w:r>
              <w:rPr>
                <w:rFonts w:hint="eastAsia" w:ascii="华文楷体" w:hAnsi="华文楷体" w:eastAsia="华文楷体" w:cs="华文楷体"/>
                <w:szCs w:val="21"/>
                <w:lang w:eastAsia="zh-CN"/>
              </w:rPr>
              <w:t>，</w:t>
            </w:r>
            <w:r>
              <w:rPr>
                <w:rFonts w:hint="eastAsia" w:ascii="华文楷体" w:hAnsi="华文楷体" w:eastAsia="华文楷体" w:cs="华文楷体"/>
                <w:szCs w:val="21"/>
              </w:rPr>
              <w:t>得0-1分。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line="240" w:lineRule="atLeast"/>
              <w:rPr>
                <w:rFonts w:ascii="华文楷体" w:hAnsi="华文楷体" w:eastAsia="华文楷体" w:cs="华文楷体"/>
                <w:szCs w:val="21"/>
              </w:rPr>
            </w:pPr>
          </w:p>
        </w:tc>
        <w:tc>
          <w:tcPr>
            <w:tcW w:w="1013" w:type="dxa"/>
            <w:vMerge w:val="continue"/>
            <w:vAlign w:val="center"/>
          </w:tcPr>
          <w:p>
            <w:pPr>
              <w:spacing w:line="240" w:lineRule="atLeast"/>
              <w:rPr>
                <w:rFonts w:ascii="华文楷体" w:hAnsi="华文楷体" w:eastAsia="华文楷体" w:cs="华文楷体"/>
                <w:szCs w:val="21"/>
              </w:rPr>
            </w:pPr>
          </w:p>
        </w:tc>
        <w:tc>
          <w:tcPr>
            <w:tcW w:w="1593" w:type="dxa"/>
            <w:vAlign w:val="center"/>
          </w:tcPr>
          <w:p>
            <w:pPr>
              <w:spacing w:line="240" w:lineRule="atLeast"/>
              <w:jc w:val="center"/>
              <w:rPr>
                <w:rFonts w:ascii="华文楷体" w:hAnsi="华文楷体" w:eastAsia="华文楷体" w:cs="华文楷体"/>
                <w:szCs w:val="21"/>
              </w:rPr>
            </w:pPr>
            <w:r>
              <w:rPr>
                <w:rFonts w:hint="eastAsia" w:ascii="华文楷体" w:hAnsi="华文楷体" w:eastAsia="华文楷体" w:cs="华文楷体"/>
                <w:szCs w:val="21"/>
              </w:rPr>
              <w:t>5、商务部分</w:t>
            </w:r>
          </w:p>
          <w:p>
            <w:pPr>
              <w:spacing w:line="240" w:lineRule="atLeast"/>
              <w:jc w:val="center"/>
              <w:rPr>
                <w:rFonts w:ascii="华文楷体" w:hAnsi="华文楷体" w:eastAsia="华文楷体" w:cs="华文楷体"/>
                <w:szCs w:val="21"/>
              </w:rPr>
            </w:pPr>
            <w:r>
              <w:rPr>
                <w:rFonts w:hint="eastAsia" w:ascii="华文楷体" w:hAnsi="华文楷体" w:eastAsia="华文楷体" w:cs="华文楷体"/>
                <w:szCs w:val="21"/>
              </w:rPr>
              <w:t>评审F3</w:t>
            </w:r>
          </w:p>
          <w:p>
            <w:pPr>
              <w:spacing w:line="240" w:lineRule="atLeast"/>
              <w:jc w:val="center"/>
              <w:rPr>
                <w:rFonts w:ascii="华文楷体" w:hAnsi="华文楷体" w:eastAsia="华文楷体" w:cs="华文楷体"/>
                <w:szCs w:val="21"/>
              </w:rPr>
            </w:pPr>
            <w:r>
              <w:rPr>
                <w:rFonts w:hint="eastAsia" w:ascii="华文楷体" w:hAnsi="华文楷体" w:eastAsia="华文楷体" w:cs="华文楷体"/>
                <w:szCs w:val="21"/>
              </w:rPr>
              <w:t>（满分30分）</w:t>
            </w:r>
          </w:p>
        </w:tc>
        <w:tc>
          <w:tcPr>
            <w:tcW w:w="6588" w:type="dxa"/>
            <w:gridSpan w:val="2"/>
            <w:vAlign w:val="center"/>
          </w:tcPr>
          <w:p>
            <w:pPr>
              <w:snapToGrid w:val="0"/>
              <w:spacing w:line="240" w:lineRule="atLeast"/>
              <w:jc w:val="left"/>
              <w:rPr>
                <w:rFonts w:hint="eastAsia" w:ascii="华文楷体" w:hAnsi="华文楷体" w:eastAsia="华文楷体" w:cs="华文楷体"/>
                <w:b/>
                <w:bCs/>
                <w:szCs w:val="21"/>
              </w:rPr>
            </w:pPr>
            <w:r>
              <w:rPr>
                <w:rFonts w:hint="eastAsia" w:ascii="华文楷体" w:hAnsi="华文楷体" w:eastAsia="华文楷体" w:cs="华文楷体"/>
                <w:b/>
                <w:bCs/>
                <w:szCs w:val="21"/>
              </w:rPr>
              <w:t>1.耗材供应保障情况评分（满分20分）</w:t>
            </w:r>
          </w:p>
          <w:p>
            <w:pPr>
              <w:snapToGrid w:val="0"/>
              <w:spacing w:line="240" w:lineRule="atLeast"/>
              <w:jc w:val="left"/>
              <w:rPr>
                <w:rFonts w:hint="eastAsia" w:ascii="华文楷体" w:hAnsi="华文楷体" w:eastAsia="华文楷体" w:cs="华文楷体"/>
                <w:szCs w:val="21"/>
                <w:lang w:eastAsia="zh-CN"/>
              </w:rPr>
            </w:pPr>
            <w:r>
              <w:rPr>
                <w:rFonts w:hint="eastAsia" w:ascii="华文楷体" w:hAnsi="华文楷体" w:eastAsia="华文楷体" w:cs="华文楷体"/>
                <w:b/>
                <w:bCs/>
                <w:szCs w:val="21"/>
              </w:rPr>
              <w:t>第一档次：</w:t>
            </w:r>
            <w:r>
              <w:rPr>
                <w:rFonts w:hint="eastAsia" w:ascii="华文楷体" w:hAnsi="华文楷体" w:eastAsia="华文楷体" w:cs="华文楷体"/>
                <w:szCs w:val="21"/>
              </w:rPr>
              <w:t>耗材供应保障能力较强，供货响应迅速，响应人对采购人配合度较高，响应人有充足的备货量，有完善的备货预警机制，有可行的紧急调货预案</w:t>
            </w:r>
            <w:r>
              <w:rPr>
                <w:rFonts w:hint="eastAsia" w:ascii="华文楷体" w:hAnsi="华文楷体" w:eastAsia="华文楷体" w:cs="华文楷体"/>
                <w:szCs w:val="21"/>
                <w:lang w:eastAsia="zh-CN"/>
              </w:rPr>
              <w:t>，</w:t>
            </w:r>
            <w:r>
              <w:rPr>
                <w:rFonts w:hint="eastAsia" w:ascii="华文楷体" w:hAnsi="华文楷体" w:eastAsia="华文楷体" w:cs="华文楷体"/>
                <w:szCs w:val="21"/>
              </w:rPr>
              <w:t>得14-20分</w:t>
            </w:r>
            <w:r>
              <w:rPr>
                <w:rFonts w:hint="eastAsia" w:ascii="华文楷体" w:hAnsi="华文楷体" w:eastAsia="华文楷体" w:cs="华文楷体"/>
                <w:szCs w:val="21"/>
                <w:lang w:eastAsia="zh-CN"/>
              </w:rPr>
              <w:t>；</w:t>
            </w:r>
          </w:p>
          <w:p>
            <w:pPr>
              <w:snapToGrid w:val="0"/>
              <w:spacing w:line="240" w:lineRule="atLeast"/>
              <w:jc w:val="left"/>
              <w:rPr>
                <w:rFonts w:hint="eastAsia" w:ascii="华文楷体" w:hAnsi="华文楷体" w:eastAsia="华文楷体" w:cs="华文楷体"/>
                <w:szCs w:val="21"/>
              </w:rPr>
            </w:pPr>
            <w:r>
              <w:rPr>
                <w:rFonts w:hint="eastAsia" w:ascii="华文楷体" w:hAnsi="华文楷体" w:eastAsia="华文楷体" w:cs="华文楷体"/>
                <w:b/>
                <w:bCs/>
                <w:szCs w:val="21"/>
              </w:rPr>
              <w:t>第二档次：</w:t>
            </w:r>
            <w:r>
              <w:rPr>
                <w:rFonts w:hint="eastAsia" w:ascii="华文楷体" w:hAnsi="华文楷体" w:eastAsia="华文楷体" w:cs="华文楷体"/>
                <w:szCs w:val="21"/>
              </w:rPr>
              <w:t>耗材供应保障能力一般，供货及时，响应人对采购人配合度一般，有一定数量的备货；有备货预警机制，但该机制不完善；</w:t>
            </w:r>
            <w:r>
              <w:rPr>
                <w:rFonts w:hint="eastAsia" w:ascii="华文楷体" w:hAnsi="华文楷体" w:eastAsia="华文楷体" w:cs="华文楷体"/>
                <w:szCs w:val="21"/>
                <w:lang w:val="en-US" w:eastAsia="zh-CN"/>
              </w:rPr>
              <w:t>有</w:t>
            </w:r>
            <w:r>
              <w:rPr>
                <w:rFonts w:hint="eastAsia" w:ascii="华文楷体" w:hAnsi="华文楷体" w:eastAsia="华文楷体" w:cs="华文楷体"/>
                <w:szCs w:val="21"/>
              </w:rPr>
              <w:t>紧急调货预案，但该预案可行性不足</w:t>
            </w:r>
            <w:r>
              <w:rPr>
                <w:rFonts w:hint="eastAsia" w:ascii="华文楷体" w:hAnsi="华文楷体" w:eastAsia="华文楷体" w:cs="华文楷体"/>
                <w:szCs w:val="21"/>
                <w:lang w:eastAsia="zh-CN"/>
              </w:rPr>
              <w:t>，</w:t>
            </w:r>
            <w:r>
              <w:rPr>
                <w:rFonts w:hint="eastAsia" w:ascii="华文楷体" w:hAnsi="华文楷体" w:eastAsia="华文楷体" w:cs="华文楷体"/>
                <w:szCs w:val="21"/>
              </w:rPr>
              <w:t>得7-13分</w:t>
            </w:r>
            <w:r>
              <w:rPr>
                <w:rFonts w:hint="eastAsia" w:ascii="华文楷体" w:hAnsi="华文楷体" w:eastAsia="华文楷体" w:cs="华文楷体"/>
                <w:szCs w:val="21"/>
                <w:lang w:eastAsia="zh-CN"/>
              </w:rPr>
              <w:t>；</w:t>
            </w:r>
          </w:p>
          <w:p>
            <w:pPr>
              <w:snapToGrid w:val="0"/>
              <w:spacing w:line="240" w:lineRule="atLeast"/>
              <w:jc w:val="left"/>
              <w:rPr>
                <w:rFonts w:hint="eastAsia" w:ascii="华文楷体" w:hAnsi="华文楷体" w:eastAsia="华文楷体" w:cs="华文楷体"/>
                <w:szCs w:val="21"/>
              </w:rPr>
            </w:pPr>
            <w:r>
              <w:rPr>
                <w:rFonts w:hint="eastAsia" w:ascii="华文楷体" w:hAnsi="华文楷体" w:eastAsia="华文楷体" w:cs="华文楷体"/>
                <w:b/>
                <w:bCs/>
                <w:szCs w:val="21"/>
              </w:rPr>
              <w:t>第三档次：</w:t>
            </w:r>
            <w:r>
              <w:rPr>
                <w:rFonts w:hint="eastAsia" w:ascii="华文楷体" w:hAnsi="华文楷体" w:eastAsia="华文楷体" w:cs="华文楷体"/>
                <w:szCs w:val="21"/>
              </w:rPr>
              <w:t>耗材供应保障能力较弱，不能满足采购人需求，响应人对采购人配合度较低</w:t>
            </w:r>
            <w:r>
              <w:rPr>
                <w:rFonts w:hint="eastAsia" w:ascii="华文楷体" w:hAnsi="华文楷体" w:eastAsia="华文楷体" w:cs="华文楷体"/>
                <w:szCs w:val="21"/>
                <w:lang w:eastAsia="zh-CN"/>
              </w:rPr>
              <w:t>，</w:t>
            </w:r>
            <w:r>
              <w:rPr>
                <w:rFonts w:hint="eastAsia" w:ascii="华文楷体" w:hAnsi="华文楷体" w:eastAsia="华文楷体" w:cs="华文楷体"/>
                <w:szCs w:val="21"/>
              </w:rPr>
              <w:t>得0-6分。</w:t>
            </w:r>
          </w:p>
          <w:p>
            <w:pPr>
              <w:snapToGrid w:val="0"/>
              <w:spacing w:line="240" w:lineRule="atLeast"/>
              <w:jc w:val="left"/>
              <w:rPr>
                <w:rFonts w:hint="eastAsia" w:ascii="华文楷体" w:hAnsi="华文楷体" w:eastAsia="华文楷体" w:cs="华文楷体"/>
                <w:b/>
                <w:bCs/>
                <w:szCs w:val="21"/>
              </w:rPr>
            </w:pPr>
            <w:r>
              <w:rPr>
                <w:rFonts w:hint="eastAsia" w:ascii="华文楷体" w:hAnsi="华文楷体" w:eastAsia="华文楷体" w:cs="华文楷体"/>
                <w:b/>
                <w:bCs/>
                <w:szCs w:val="21"/>
              </w:rPr>
              <w:t>2.售后服务（满分5分）</w:t>
            </w:r>
          </w:p>
          <w:p>
            <w:pPr>
              <w:snapToGrid w:val="0"/>
              <w:spacing w:line="240" w:lineRule="atLeast"/>
              <w:jc w:val="left"/>
              <w:rPr>
                <w:rFonts w:hint="eastAsia" w:ascii="华文楷体" w:hAnsi="华文楷体" w:eastAsia="华文楷体" w:cs="华文楷体"/>
                <w:szCs w:val="21"/>
              </w:rPr>
            </w:pPr>
            <w:r>
              <w:rPr>
                <w:rFonts w:hint="eastAsia" w:ascii="华文楷体" w:hAnsi="华文楷体" w:eastAsia="华文楷体" w:cs="华文楷体"/>
                <w:szCs w:val="21"/>
              </w:rPr>
              <w:t>提供完善的售后服务方案，至少包括性能验证、投诉处理、不良事件处理、售后服务流程、响应/处理时间、负责人及负责人电话、质量监管及处罚等。方案合理、操作性强，且切实可行。</w:t>
            </w:r>
          </w:p>
          <w:p>
            <w:pPr>
              <w:snapToGrid w:val="0"/>
              <w:spacing w:line="240" w:lineRule="atLeast"/>
              <w:jc w:val="left"/>
              <w:rPr>
                <w:rFonts w:hint="eastAsia" w:ascii="华文楷体" w:hAnsi="华文楷体" w:eastAsia="华文楷体" w:cs="华文楷体"/>
                <w:szCs w:val="21"/>
              </w:rPr>
            </w:pPr>
            <w:r>
              <w:rPr>
                <w:rFonts w:hint="eastAsia" w:ascii="华文楷体" w:hAnsi="华文楷体" w:eastAsia="华文楷体" w:cs="华文楷体"/>
                <w:b/>
                <w:bCs/>
                <w:szCs w:val="21"/>
              </w:rPr>
              <w:t>第一档次：</w:t>
            </w:r>
            <w:r>
              <w:rPr>
                <w:rFonts w:hint="eastAsia" w:ascii="华文楷体" w:hAnsi="华文楷体" w:eastAsia="华文楷体" w:cs="华文楷体"/>
                <w:szCs w:val="21"/>
              </w:rPr>
              <w:t>售后服务方案全面、合理可行，方案安排科学合理、可操作性强</w:t>
            </w:r>
            <w:r>
              <w:rPr>
                <w:rFonts w:hint="eastAsia" w:ascii="华文楷体" w:hAnsi="华文楷体" w:eastAsia="华文楷体" w:cs="华文楷体"/>
                <w:szCs w:val="21"/>
                <w:lang w:eastAsia="zh-CN"/>
              </w:rPr>
              <w:t>，</w:t>
            </w:r>
            <w:r>
              <w:rPr>
                <w:rFonts w:hint="eastAsia" w:ascii="华文楷体" w:hAnsi="华文楷体" w:eastAsia="华文楷体" w:cs="华文楷体"/>
                <w:szCs w:val="21"/>
                <w:lang w:val="en-US" w:eastAsia="zh-CN"/>
              </w:rPr>
              <w:t>得4-5分</w:t>
            </w:r>
            <w:r>
              <w:rPr>
                <w:rFonts w:hint="eastAsia" w:ascii="华文楷体" w:hAnsi="华文楷体" w:eastAsia="华文楷体" w:cs="华文楷体"/>
                <w:szCs w:val="21"/>
              </w:rPr>
              <w:t>；</w:t>
            </w:r>
          </w:p>
          <w:p>
            <w:pPr>
              <w:snapToGrid w:val="0"/>
              <w:spacing w:line="240" w:lineRule="atLeast"/>
              <w:jc w:val="left"/>
              <w:rPr>
                <w:rFonts w:hint="eastAsia" w:ascii="华文楷体" w:hAnsi="华文楷体" w:eastAsia="华文楷体" w:cs="华文楷体"/>
                <w:szCs w:val="21"/>
              </w:rPr>
            </w:pPr>
            <w:r>
              <w:rPr>
                <w:rFonts w:hint="eastAsia" w:ascii="华文楷体" w:hAnsi="华文楷体" w:eastAsia="华文楷体" w:cs="华文楷体"/>
                <w:b/>
                <w:bCs/>
                <w:szCs w:val="21"/>
              </w:rPr>
              <w:t>第二档次：</w:t>
            </w:r>
            <w:r>
              <w:rPr>
                <w:rFonts w:hint="eastAsia" w:ascii="华文楷体" w:hAnsi="华文楷体" w:eastAsia="华文楷体" w:cs="华文楷体"/>
                <w:szCs w:val="21"/>
              </w:rPr>
              <w:t>售后服务方案可行，方案安排可行，有一定的针对性</w:t>
            </w:r>
            <w:r>
              <w:rPr>
                <w:rFonts w:hint="eastAsia" w:ascii="华文楷体" w:hAnsi="华文楷体" w:eastAsia="华文楷体" w:cs="华文楷体"/>
                <w:szCs w:val="21"/>
                <w:lang w:eastAsia="zh-CN"/>
              </w:rPr>
              <w:t>，</w:t>
            </w:r>
            <w:r>
              <w:rPr>
                <w:rFonts w:hint="eastAsia" w:ascii="华文楷体" w:hAnsi="华文楷体" w:eastAsia="华文楷体" w:cs="华文楷体"/>
                <w:szCs w:val="21"/>
                <w:lang w:val="en-US" w:eastAsia="zh-CN"/>
              </w:rPr>
              <w:t>得2-3分</w:t>
            </w:r>
            <w:r>
              <w:rPr>
                <w:rFonts w:hint="eastAsia" w:ascii="华文楷体" w:hAnsi="华文楷体" w:eastAsia="华文楷体" w:cs="华文楷体"/>
                <w:szCs w:val="21"/>
              </w:rPr>
              <w:t>；</w:t>
            </w:r>
          </w:p>
          <w:p>
            <w:pPr>
              <w:snapToGrid w:val="0"/>
              <w:spacing w:line="240" w:lineRule="atLeast"/>
              <w:jc w:val="left"/>
              <w:rPr>
                <w:rFonts w:hint="eastAsia" w:ascii="华文楷体" w:hAnsi="华文楷体" w:eastAsia="华文楷体" w:cs="华文楷体"/>
                <w:szCs w:val="21"/>
              </w:rPr>
            </w:pPr>
            <w:r>
              <w:rPr>
                <w:rFonts w:hint="eastAsia" w:ascii="华文楷体" w:hAnsi="华文楷体" w:eastAsia="华文楷体" w:cs="华文楷体"/>
                <w:b/>
                <w:bCs/>
                <w:szCs w:val="21"/>
              </w:rPr>
              <w:t>第三档次：</w:t>
            </w:r>
            <w:r>
              <w:rPr>
                <w:rFonts w:hint="eastAsia" w:ascii="华文楷体" w:hAnsi="华文楷体" w:eastAsia="华文楷体" w:cs="华文楷体"/>
                <w:szCs w:val="21"/>
              </w:rPr>
              <w:t>售后服务方案有明显瑕疵，方案安排有瑕疵</w:t>
            </w:r>
            <w:r>
              <w:rPr>
                <w:rFonts w:hint="eastAsia" w:ascii="华文楷体" w:hAnsi="华文楷体" w:eastAsia="华文楷体" w:cs="华文楷体"/>
                <w:szCs w:val="21"/>
                <w:lang w:eastAsia="zh-CN"/>
              </w:rPr>
              <w:t>，</w:t>
            </w:r>
            <w:r>
              <w:rPr>
                <w:rFonts w:hint="eastAsia" w:ascii="华文楷体" w:hAnsi="华文楷体" w:eastAsia="华文楷体" w:cs="华文楷体"/>
                <w:szCs w:val="21"/>
                <w:lang w:val="en-US" w:eastAsia="zh-CN"/>
              </w:rPr>
              <w:t>得0-1分</w:t>
            </w:r>
            <w:r>
              <w:rPr>
                <w:rFonts w:hint="eastAsia" w:ascii="华文楷体" w:hAnsi="华文楷体" w:eastAsia="华文楷体" w:cs="华文楷体"/>
                <w:szCs w:val="21"/>
              </w:rPr>
              <w:t>。</w:t>
            </w:r>
          </w:p>
          <w:p>
            <w:pPr>
              <w:snapToGrid w:val="0"/>
              <w:spacing w:line="240" w:lineRule="atLeast"/>
              <w:jc w:val="left"/>
              <w:rPr>
                <w:rFonts w:hint="eastAsia" w:ascii="华文楷体" w:hAnsi="华文楷体" w:eastAsia="华文楷体" w:cs="华文楷体"/>
                <w:b/>
                <w:bCs/>
                <w:szCs w:val="21"/>
              </w:rPr>
            </w:pPr>
            <w:r>
              <w:rPr>
                <w:rFonts w:hint="eastAsia" w:ascii="华文楷体" w:hAnsi="华文楷体" w:eastAsia="华文楷体" w:cs="华文楷体"/>
                <w:b/>
                <w:bCs/>
                <w:szCs w:val="21"/>
              </w:rPr>
              <w:t>3.类似产品销售业绩（满分5分）</w:t>
            </w:r>
          </w:p>
          <w:p>
            <w:pPr>
              <w:snapToGrid w:val="0"/>
              <w:spacing w:line="240" w:lineRule="atLeast"/>
              <w:jc w:val="left"/>
              <w:rPr>
                <w:rFonts w:ascii="华文楷体" w:hAnsi="华文楷体" w:eastAsia="华文楷体" w:cs="华文楷体"/>
                <w:szCs w:val="21"/>
              </w:rPr>
            </w:pPr>
            <w:r>
              <w:rPr>
                <w:rFonts w:hint="eastAsia" w:ascii="华文楷体" w:hAnsi="华文楷体" w:eastAsia="华文楷体" w:cs="华文楷体"/>
                <w:szCs w:val="21"/>
              </w:rPr>
              <w:t>近三年（2019年至今）类似产品销售业绩（供货凭证、中标通知、合同等）注：业绩的有效时间以证明文件的时间为准，提供一项得1分，增加一项，加1分，加满为止。</w:t>
            </w:r>
          </w:p>
        </w:tc>
      </w:tr>
    </w:tbl>
    <w:p>
      <w:pPr>
        <w:pStyle w:val="3"/>
        <w:outlineLvl w:val="1"/>
        <w:rPr>
          <w:rFonts w:ascii="华文楷体" w:hAnsi="华文楷体" w:eastAsia="华文楷体" w:cs="华文楷体"/>
          <w:sz w:val="24"/>
        </w:rPr>
      </w:pPr>
      <w:bookmarkStart w:id="28" w:name="_Toc16028"/>
      <w:bookmarkStart w:id="29" w:name="_Toc16081"/>
      <w:r>
        <w:rPr>
          <w:rFonts w:hint="eastAsia" w:ascii="华文楷体" w:hAnsi="华文楷体" w:eastAsia="华文楷体" w:cs="华文楷体"/>
          <w:sz w:val="24"/>
        </w:rPr>
        <w:t>一、</w:t>
      </w:r>
      <w:r>
        <w:rPr>
          <w:rFonts w:hint="eastAsia" w:ascii="华文楷体" w:hAnsi="华文楷体" w:eastAsia="华文楷体" w:cs="华文楷体"/>
          <w:sz w:val="24"/>
          <w:lang w:eastAsia="zh-CN"/>
        </w:rPr>
        <w:t>评审</w:t>
      </w:r>
      <w:r>
        <w:rPr>
          <w:rFonts w:hint="eastAsia" w:ascii="华文楷体" w:hAnsi="华文楷体" w:eastAsia="华文楷体" w:cs="华文楷体"/>
          <w:sz w:val="24"/>
        </w:rPr>
        <w:t>方法</w:t>
      </w:r>
      <w:bookmarkEnd w:id="28"/>
      <w:bookmarkEnd w:id="29"/>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华文楷体" w:hAnsi="华文楷体" w:eastAsia="华文楷体" w:cs="华文楷体"/>
          <w:b w:val="0"/>
          <w:bCs w:val="0"/>
          <w:sz w:val="24"/>
        </w:rPr>
      </w:pPr>
      <w:r>
        <w:rPr>
          <w:rFonts w:hint="eastAsia" w:ascii="华文楷体" w:hAnsi="华文楷体" w:eastAsia="华文楷体" w:cs="华文楷体"/>
          <w:b w:val="0"/>
          <w:bCs w:val="0"/>
          <w:sz w:val="24"/>
          <w:lang w:eastAsia="zh-CN"/>
        </w:rPr>
        <w:t>评审小组</w:t>
      </w:r>
      <w:r>
        <w:rPr>
          <w:rFonts w:ascii="华文楷体" w:hAnsi="华文楷体" w:eastAsia="华文楷体" w:cs="华文楷体"/>
          <w:b w:val="0"/>
          <w:bCs w:val="0"/>
          <w:sz w:val="24"/>
        </w:rPr>
        <w:t>对满足</w:t>
      </w:r>
      <w:r>
        <w:rPr>
          <w:rFonts w:hint="eastAsia" w:ascii="华文楷体" w:hAnsi="华文楷体" w:eastAsia="华文楷体" w:cs="华文楷体"/>
          <w:b w:val="0"/>
          <w:bCs w:val="0"/>
          <w:sz w:val="24"/>
          <w:lang w:eastAsia="zh-CN"/>
        </w:rPr>
        <w:t>采购</w:t>
      </w:r>
      <w:r>
        <w:rPr>
          <w:rFonts w:ascii="华文楷体" w:hAnsi="华文楷体" w:eastAsia="华文楷体" w:cs="华文楷体"/>
          <w:b w:val="0"/>
          <w:bCs w:val="0"/>
          <w:sz w:val="24"/>
        </w:rPr>
        <w:t>文件全部实质性要求（即通过资格性评审及符合性评审）的</w:t>
      </w:r>
      <w:r>
        <w:rPr>
          <w:rFonts w:hint="eastAsia" w:ascii="华文楷体" w:hAnsi="华文楷体" w:eastAsia="华文楷体" w:cs="华文楷体"/>
          <w:b w:val="0"/>
          <w:bCs w:val="0"/>
          <w:sz w:val="24"/>
          <w:lang w:eastAsia="zh-CN"/>
        </w:rPr>
        <w:t>响应</w:t>
      </w:r>
      <w:r>
        <w:rPr>
          <w:rFonts w:ascii="华文楷体" w:hAnsi="华文楷体" w:eastAsia="华文楷体" w:cs="华文楷体"/>
          <w:b w:val="0"/>
          <w:bCs w:val="0"/>
          <w:sz w:val="24"/>
        </w:rPr>
        <w:t>文件，按照本章前附表规定的评分标准进行打分，并按</w:t>
      </w:r>
      <w:r>
        <w:rPr>
          <w:rFonts w:hint="eastAsia" w:ascii="华文楷体" w:hAnsi="华文楷体" w:eastAsia="华文楷体" w:cs="华文楷体"/>
          <w:b w:val="0"/>
          <w:bCs w:val="0"/>
          <w:sz w:val="24"/>
          <w:lang w:eastAsia="zh-CN"/>
        </w:rPr>
        <w:t>评审</w:t>
      </w:r>
      <w:r>
        <w:rPr>
          <w:rFonts w:ascii="华文楷体" w:hAnsi="华文楷体" w:eastAsia="华文楷体" w:cs="华文楷体"/>
          <w:b w:val="0"/>
          <w:bCs w:val="0"/>
          <w:sz w:val="24"/>
        </w:rPr>
        <w:t>总得分计算公式计算</w:t>
      </w:r>
      <w:r>
        <w:rPr>
          <w:rFonts w:hint="eastAsia" w:ascii="华文楷体" w:hAnsi="华文楷体" w:eastAsia="华文楷体" w:cs="华文楷体"/>
          <w:b w:val="0"/>
          <w:bCs w:val="0"/>
          <w:sz w:val="24"/>
          <w:lang w:eastAsia="zh-CN"/>
        </w:rPr>
        <w:t>评审</w:t>
      </w:r>
      <w:r>
        <w:rPr>
          <w:rFonts w:ascii="华文楷体" w:hAnsi="华文楷体" w:eastAsia="华文楷体" w:cs="华文楷体"/>
          <w:b w:val="0"/>
          <w:bCs w:val="0"/>
          <w:sz w:val="24"/>
        </w:rPr>
        <w:t>总得分</w:t>
      </w:r>
      <w:r>
        <w:rPr>
          <w:rFonts w:hint="eastAsia" w:ascii="华文楷体" w:hAnsi="华文楷体" w:eastAsia="华文楷体" w:cs="华文楷体"/>
          <w:b w:val="0"/>
          <w:bCs w:val="0"/>
          <w:sz w:val="24"/>
        </w:rPr>
        <w:t>。</w:t>
      </w:r>
    </w:p>
    <w:p>
      <w:pPr>
        <w:pStyle w:val="3"/>
        <w:outlineLvl w:val="1"/>
        <w:rPr>
          <w:rFonts w:ascii="华文楷体" w:hAnsi="华文楷体" w:eastAsia="华文楷体" w:cs="华文楷体"/>
          <w:sz w:val="24"/>
        </w:rPr>
      </w:pPr>
      <w:bookmarkStart w:id="30" w:name="_Toc28122"/>
      <w:bookmarkStart w:id="31" w:name="_Toc14948"/>
      <w:r>
        <w:rPr>
          <w:rFonts w:hint="eastAsia" w:ascii="华文楷体" w:hAnsi="华文楷体" w:eastAsia="华文楷体" w:cs="华文楷体"/>
          <w:sz w:val="24"/>
        </w:rPr>
        <w:t>二、</w:t>
      </w:r>
      <w:r>
        <w:rPr>
          <w:rFonts w:hint="eastAsia" w:ascii="华文楷体" w:hAnsi="华文楷体" w:eastAsia="华文楷体" w:cs="华文楷体"/>
          <w:sz w:val="24"/>
          <w:lang w:eastAsia="zh-CN"/>
        </w:rPr>
        <w:t>评审</w:t>
      </w:r>
      <w:r>
        <w:rPr>
          <w:rFonts w:ascii="华文楷体" w:hAnsi="华文楷体" w:eastAsia="华文楷体" w:cs="华文楷体"/>
          <w:sz w:val="24"/>
        </w:rPr>
        <w:t>程序及标准</w:t>
      </w:r>
      <w:bookmarkEnd w:id="30"/>
      <w:bookmarkEnd w:id="31"/>
    </w:p>
    <w:p>
      <w:pPr>
        <w:spacing w:line="360" w:lineRule="auto"/>
        <w:outlineLvl w:val="2"/>
        <w:rPr>
          <w:rFonts w:ascii="华文楷体" w:hAnsi="华文楷体" w:eastAsia="华文楷体" w:cs="华文楷体"/>
          <w:sz w:val="24"/>
        </w:rPr>
      </w:pPr>
      <w:r>
        <w:rPr>
          <w:rFonts w:ascii="华文楷体" w:hAnsi="华文楷体" w:eastAsia="华文楷体" w:cs="华文楷体"/>
          <w:sz w:val="24"/>
        </w:rPr>
        <w:t>1符合性评审</w:t>
      </w:r>
    </w:p>
    <w:p>
      <w:pPr>
        <w:spacing w:line="360" w:lineRule="auto"/>
        <w:rPr>
          <w:rFonts w:ascii="华文楷体" w:hAnsi="华文楷体" w:eastAsia="华文楷体" w:cs="华文楷体"/>
          <w:sz w:val="24"/>
        </w:rPr>
      </w:pPr>
      <w:r>
        <w:rPr>
          <w:rFonts w:ascii="华文楷体" w:hAnsi="华文楷体" w:eastAsia="华文楷体" w:cs="华文楷体"/>
          <w:sz w:val="24"/>
        </w:rPr>
        <w:t>依据</w:t>
      </w:r>
      <w:r>
        <w:rPr>
          <w:rFonts w:hint="eastAsia" w:ascii="华文楷体" w:hAnsi="华文楷体" w:eastAsia="华文楷体" w:cs="华文楷体"/>
          <w:sz w:val="24"/>
          <w:lang w:eastAsia="zh-CN"/>
        </w:rPr>
        <w:t>采购</w:t>
      </w:r>
      <w:r>
        <w:rPr>
          <w:rFonts w:ascii="华文楷体" w:hAnsi="华文楷体" w:eastAsia="华文楷体" w:cs="华文楷体"/>
          <w:sz w:val="24"/>
        </w:rPr>
        <w:t>文件的规定，</w:t>
      </w:r>
      <w:r>
        <w:rPr>
          <w:rFonts w:hint="eastAsia" w:ascii="华文楷体" w:hAnsi="华文楷体" w:eastAsia="华文楷体" w:cs="华文楷体"/>
          <w:sz w:val="24"/>
          <w:lang w:eastAsia="zh-CN"/>
        </w:rPr>
        <w:t>评审小组</w:t>
      </w:r>
      <w:r>
        <w:rPr>
          <w:rFonts w:ascii="华文楷体" w:hAnsi="华文楷体" w:eastAsia="华文楷体" w:cs="华文楷体"/>
          <w:sz w:val="24"/>
        </w:rPr>
        <w:t>对符合资格的</w:t>
      </w:r>
      <w:r>
        <w:rPr>
          <w:rFonts w:hint="eastAsia" w:ascii="华文楷体" w:hAnsi="华文楷体" w:eastAsia="华文楷体" w:cs="华文楷体"/>
          <w:sz w:val="24"/>
          <w:lang w:eastAsia="zh-CN"/>
        </w:rPr>
        <w:t>响应人</w:t>
      </w:r>
      <w:r>
        <w:rPr>
          <w:rFonts w:ascii="华文楷体" w:hAnsi="华文楷体" w:eastAsia="华文楷体" w:cs="华文楷体"/>
          <w:sz w:val="24"/>
        </w:rPr>
        <w:t>的</w:t>
      </w:r>
      <w:r>
        <w:rPr>
          <w:rFonts w:hint="eastAsia" w:ascii="华文楷体" w:hAnsi="华文楷体" w:eastAsia="华文楷体" w:cs="华文楷体"/>
          <w:sz w:val="24"/>
          <w:lang w:eastAsia="zh-CN"/>
        </w:rPr>
        <w:t>响应</w:t>
      </w:r>
      <w:r>
        <w:rPr>
          <w:rFonts w:ascii="华文楷体" w:hAnsi="华文楷体" w:eastAsia="华文楷体" w:cs="华文楷体"/>
          <w:sz w:val="24"/>
        </w:rPr>
        <w:t>文件从有效性、完整性和对</w:t>
      </w:r>
      <w:r>
        <w:rPr>
          <w:rFonts w:hint="eastAsia" w:ascii="华文楷体" w:hAnsi="华文楷体" w:eastAsia="华文楷体" w:cs="华文楷体"/>
          <w:sz w:val="24"/>
          <w:lang w:eastAsia="zh-CN"/>
        </w:rPr>
        <w:t>采购</w:t>
      </w:r>
      <w:r>
        <w:rPr>
          <w:rFonts w:ascii="华文楷体" w:hAnsi="华文楷体" w:eastAsia="华文楷体" w:cs="华文楷体"/>
          <w:sz w:val="24"/>
        </w:rPr>
        <w:t>文件的实质性响应程度等方面进行审查，见</w:t>
      </w:r>
      <w:r>
        <w:rPr>
          <w:rFonts w:hint="eastAsia" w:ascii="华文楷体" w:hAnsi="华文楷体" w:eastAsia="华文楷体" w:cs="华文楷体"/>
          <w:sz w:val="24"/>
          <w:lang w:eastAsia="zh-CN"/>
        </w:rPr>
        <w:t>评审</w:t>
      </w:r>
      <w:r>
        <w:rPr>
          <w:rFonts w:ascii="华文楷体" w:hAnsi="华文楷体" w:eastAsia="华文楷体" w:cs="华文楷体"/>
          <w:sz w:val="24"/>
        </w:rPr>
        <w:t>方法前附表。</w:t>
      </w:r>
    </w:p>
    <w:p>
      <w:pPr>
        <w:spacing w:line="360" w:lineRule="auto"/>
        <w:outlineLvl w:val="2"/>
        <w:rPr>
          <w:rFonts w:ascii="华文楷体" w:hAnsi="华文楷体" w:eastAsia="华文楷体" w:cs="华文楷体"/>
          <w:sz w:val="24"/>
        </w:rPr>
      </w:pPr>
      <w:r>
        <w:rPr>
          <w:rFonts w:ascii="华文楷体" w:hAnsi="华文楷体" w:eastAsia="华文楷体" w:cs="华文楷体"/>
          <w:sz w:val="24"/>
        </w:rPr>
        <w:t>2详细评审</w:t>
      </w:r>
    </w:p>
    <w:p>
      <w:pPr>
        <w:spacing w:line="360" w:lineRule="auto"/>
        <w:rPr>
          <w:rFonts w:ascii="华文楷体" w:hAnsi="华文楷体" w:eastAsia="华文楷体" w:cs="华文楷体"/>
          <w:sz w:val="24"/>
        </w:rPr>
      </w:pPr>
      <w:r>
        <w:rPr>
          <w:rFonts w:ascii="华文楷体" w:hAnsi="华文楷体" w:eastAsia="华文楷体" w:cs="华文楷体"/>
          <w:sz w:val="24"/>
        </w:rPr>
        <w:t>2.1</w:t>
      </w:r>
      <w:r>
        <w:rPr>
          <w:rFonts w:hint="eastAsia" w:ascii="华文楷体" w:hAnsi="华文楷体" w:eastAsia="华文楷体" w:cs="华文楷体"/>
          <w:sz w:val="24"/>
          <w:lang w:eastAsia="zh-CN"/>
        </w:rPr>
        <w:t>评审小组</w:t>
      </w:r>
      <w:r>
        <w:rPr>
          <w:rFonts w:ascii="华文楷体" w:hAnsi="华文楷体" w:eastAsia="华文楷体" w:cs="华文楷体"/>
          <w:sz w:val="24"/>
        </w:rPr>
        <w:t>按照</w:t>
      </w:r>
      <w:r>
        <w:rPr>
          <w:rFonts w:hint="eastAsia" w:ascii="华文楷体" w:hAnsi="华文楷体" w:eastAsia="华文楷体" w:cs="华文楷体"/>
          <w:sz w:val="24"/>
          <w:lang w:eastAsia="zh-CN"/>
        </w:rPr>
        <w:t>采购</w:t>
      </w:r>
      <w:r>
        <w:rPr>
          <w:rFonts w:ascii="华文楷体" w:hAnsi="华文楷体" w:eastAsia="华文楷体" w:cs="华文楷体"/>
          <w:sz w:val="24"/>
        </w:rPr>
        <w:t>文件中规定的</w:t>
      </w:r>
      <w:r>
        <w:rPr>
          <w:rFonts w:hint="eastAsia" w:ascii="华文楷体" w:hAnsi="华文楷体" w:eastAsia="华文楷体" w:cs="华文楷体"/>
          <w:sz w:val="24"/>
          <w:lang w:eastAsia="zh-CN"/>
        </w:rPr>
        <w:t>评审</w:t>
      </w:r>
      <w:r>
        <w:rPr>
          <w:rFonts w:ascii="华文楷体" w:hAnsi="华文楷体" w:eastAsia="华文楷体" w:cs="华文楷体"/>
          <w:sz w:val="24"/>
        </w:rPr>
        <w:t>方法和标准，对符合性审查合格的</w:t>
      </w:r>
      <w:r>
        <w:rPr>
          <w:rFonts w:hint="eastAsia" w:ascii="华文楷体" w:hAnsi="华文楷体" w:eastAsia="华文楷体" w:cs="华文楷体"/>
          <w:sz w:val="24"/>
          <w:lang w:eastAsia="zh-CN"/>
        </w:rPr>
        <w:t>响应</w:t>
      </w:r>
      <w:r>
        <w:rPr>
          <w:rFonts w:ascii="华文楷体" w:hAnsi="华文楷体" w:eastAsia="华文楷体" w:cs="华文楷体"/>
          <w:sz w:val="24"/>
        </w:rPr>
        <w:t>文件进行商务和技术评估，综合比较与评价, 见</w:t>
      </w:r>
      <w:r>
        <w:rPr>
          <w:rFonts w:hint="eastAsia" w:ascii="华文楷体" w:hAnsi="华文楷体" w:eastAsia="华文楷体" w:cs="华文楷体"/>
          <w:sz w:val="24"/>
          <w:lang w:eastAsia="zh-CN"/>
        </w:rPr>
        <w:t>评审</w:t>
      </w:r>
      <w:r>
        <w:rPr>
          <w:rFonts w:ascii="华文楷体" w:hAnsi="华文楷体" w:eastAsia="华文楷体" w:cs="华文楷体"/>
          <w:sz w:val="24"/>
        </w:rPr>
        <w:t>方法前附表。</w:t>
      </w:r>
    </w:p>
    <w:p>
      <w:pPr>
        <w:spacing w:line="360" w:lineRule="auto"/>
        <w:rPr>
          <w:rFonts w:ascii="华文楷体" w:hAnsi="华文楷体" w:eastAsia="华文楷体" w:cs="华文楷体"/>
          <w:sz w:val="24"/>
        </w:rPr>
      </w:pPr>
      <w:r>
        <w:rPr>
          <w:rFonts w:ascii="华文楷体" w:hAnsi="华文楷体" w:eastAsia="华文楷体" w:cs="华文楷体"/>
          <w:sz w:val="24"/>
        </w:rPr>
        <w:t>2.2</w:t>
      </w:r>
      <w:r>
        <w:rPr>
          <w:rFonts w:hint="eastAsia" w:ascii="华文楷体" w:hAnsi="华文楷体" w:eastAsia="华文楷体" w:cs="华文楷体"/>
          <w:sz w:val="24"/>
          <w:lang w:eastAsia="zh-CN"/>
        </w:rPr>
        <w:t>评审小组</w:t>
      </w:r>
      <w:r>
        <w:rPr>
          <w:rFonts w:ascii="华文楷体" w:hAnsi="华文楷体" w:eastAsia="华文楷体" w:cs="华文楷体"/>
          <w:sz w:val="24"/>
        </w:rPr>
        <w:t>各成员要依法独立评审，并对评审意见承担个人责任。对</w:t>
      </w:r>
      <w:r>
        <w:rPr>
          <w:rFonts w:hint="eastAsia" w:ascii="华文楷体" w:hAnsi="华文楷体" w:eastAsia="华文楷体" w:cs="华文楷体"/>
          <w:sz w:val="24"/>
          <w:lang w:eastAsia="zh-CN"/>
        </w:rPr>
        <w:t>响应人</w:t>
      </w:r>
      <w:r>
        <w:rPr>
          <w:rFonts w:ascii="华文楷体" w:hAnsi="华文楷体" w:eastAsia="华文楷体" w:cs="华文楷体"/>
          <w:sz w:val="24"/>
        </w:rPr>
        <w:t>的客观评分项的评分应当一致，对其他需要借助专业知识评判的主观评分项，应当严格按照评分细则公正评分。</w:t>
      </w:r>
    </w:p>
    <w:p>
      <w:pPr>
        <w:spacing w:line="360" w:lineRule="auto"/>
        <w:rPr>
          <w:rFonts w:ascii="华文楷体" w:hAnsi="华文楷体" w:eastAsia="华文楷体" w:cs="华文楷体"/>
          <w:sz w:val="24"/>
        </w:rPr>
      </w:pPr>
      <w:r>
        <w:rPr>
          <w:rFonts w:ascii="华文楷体" w:hAnsi="华文楷体" w:eastAsia="华文楷体" w:cs="华文楷体"/>
          <w:sz w:val="24"/>
        </w:rPr>
        <w:t>2.3</w:t>
      </w:r>
      <w:r>
        <w:rPr>
          <w:rFonts w:hint="eastAsia" w:ascii="华文楷体" w:hAnsi="华文楷体" w:eastAsia="华文楷体" w:cs="华文楷体"/>
          <w:sz w:val="24"/>
          <w:lang w:eastAsia="zh-CN"/>
        </w:rPr>
        <w:t>评审小组</w:t>
      </w:r>
      <w:r>
        <w:rPr>
          <w:rFonts w:ascii="华文楷体" w:hAnsi="华文楷体" w:eastAsia="华文楷体" w:cs="华文楷体"/>
          <w:sz w:val="24"/>
        </w:rPr>
        <w:t>成员对需要共同认定的事项存在争议的，按照少数服从多数的原则做出结论。持不同意见的</w:t>
      </w:r>
      <w:r>
        <w:rPr>
          <w:rFonts w:hint="eastAsia" w:ascii="华文楷体" w:hAnsi="华文楷体" w:eastAsia="华文楷体" w:cs="华文楷体"/>
          <w:sz w:val="24"/>
          <w:lang w:eastAsia="zh-CN"/>
        </w:rPr>
        <w:t>评审小组</w:t>
      </w:r>
      <w:r>
        <w:rPr>
          <w:rFonts w:ascii="华文楷体" w:hAnsi="华文楷体" w:eastAsia="华文楷体" w:cs="华文楷体"/>
          <w:sz w:val="24"/>
        </w:rPr>
        <w:t>成员应当在</w:t>
      </w:r>
      <w:r>
        <w:rPr>
          <w:rFonts w:hint="eastAsia" w:ascii="华文楷体" w:hAnsi="华文楷体" w:eastAsia="华文楷体" w:cs="华文楷体"/>
          <w:sz w:val="24"/>
          <w:lang w:eastAsia="zh-CN"/>
        </w:rPr>
        <w:t>评审</w:t>
      </w:r>
      <w:r>
        <w:rPr>
          <w:rFonts w:ascii="华文楷体" w:hAnsi="华文楷体" w:eastAsia="华文楷体" w:cs="华文楷体"/>
          <w:sz w:val="24"/>
        </w:rPr>
        <w:t>报告上签署不同意见并说明理由，否则视为同意。</w:t>
      </w:r>
    </w:p>
    <w:p>
      <w:pPr>
        <w:spacing w:line="360" w:lineRule="auto"/>
        <w:rPr>
          <w:rFonts w:ascii="华文楷体" w:hAnsi="华文楷体" w:eastAsia="华文楷体" w:cs="华文楷体"/>
          <w:sz w:val="24"/>
        </w:rPr>
      </w:pPr>
      <w:r>
        <w:rPr>
          <w:rFonts w:ascii="华文楷体" w:hAnsi="华文楷体" w:eastAsia="华文楷体" w:cs="华文楷体"/>
          <w:sz w:val="24"/>
        </w:rPr>
        <w:t>2.4</w:t>
      </w:r>
      <w:r>
        <w:rPr>
          <w:rFonts w:hint="eastAsia" w:ascii="华文楷体" w:hAnsi="华文楷体" w:eastAsia="华文楷体" w:cs="华文楷体"/>
          <w:sz w:val="24"/>
          <w:lang w:eastAsia="zh-CN"/>
        </w:rPr>
        <w:t>响应</w:t>
      </w:r>
      <w:r>
        <w:rPr>
          <w:rFonts w:ascii="华文楷体" w:hAnsi="华文楷体" w:eastAsia="华文楷体" w:cs="华文楷体"/>
          <w:sz w:val="24"/>
        </w:rPr>
        <w:t>文件报价出现前后不一致的，按照下列规定修正：</w:t>
      </w:r>
    </w:p>
    <w:p>
      <w:pPr>
        <w:spacing w:line="360" w:lineRule="auto"/>
        <w:rPr>
          <w:rFonts w:ascii="华文楷体" w:hAnsi="华文楷体" w:eastAsia="华文楷体" w:cs="华文楷体"/>
          <w:sz w:val="24"/>
        </w:rPr>
      </w:pPr>
      <w:r>
        <w:rPr>
          <w:rFonts w:hint="eastAsia" w:ascii="华文楷体" w:hAnsi="华文楷体" w:eastAsia="华文楷体" w:cs="华文楷体"/>
          <w:sz w:val="24"/>
          <w:lang w:val="en-US" w:eastAsia="zh-CN"/>
        </w:rPr>
        <w:t>2.4.1</w:t>
      </w:r>
      <w:r>
        <w:rPr>
          <w:rFonts w:hint="eastAsia" w:ascii="华文楷体" w:hAnsi="华文楷体" w:eastAsia="华文楷体" w:cs="华文楷体"/>
          <w:sz w:val="24"/>
          <w:lang w:eastAsia="zh-CN"/>
        </w:rPr>
        <w:t>响应</w:t>
      </w:r>
      <w:r>
        <w:rPr>
          <w:rFonts w:ascii="华文楷体" w:hAnsi="华文楷体" w:eastAsia="华文楷体" w:cs="华文楷体"/>
          <w:sz w:val="24"/>
        </w:rPr>
        <w:t>文件中开标一览表（报价表）内容与</w:t>
      </w:r>
      <w:r>
        <w:rPr>
          <w:rFonts w:hint="eastAsia" w:ascii="华文楷体" w:hAnsi="华文楷体" w:eastAsia="华文楷体" w:cs="华文楷体"/>
          <w:sz w:val="24"/>
          <w:lang w:eastAsia="zh-CN"/>
        </w:rPr>
        <w:t>响应</w:t>
      </w:r>
      <w:r>
        <w:rPr>
          <w:rFonts w:ascii="华文楷体" w:hAnsi="华文楷体" w:eastAsia="华文楷体" w:cs="华文楷体"/>
          <w:sz w:val="24"/>
        </w:rPr>
        <w:t>文件中相应内容不一致的，以开标一览表（报价表）为准；</w:t>
      </w:r>
    </w:p>
    <w:p>
      <w:pPr>
        <w:spacing w:line="360" w:lineRule="auto"/>
        <w:rPr>
          <w:rFonts w:ascii="华文楷体" w:hAnsi="华文楷体" w:eastAsia="华文楷体" w:cs="华文楷体"/>
          <w:sz w:val="24"/>
        </w:rPr>
      </w:pPr>
      <w:r>
        <w:rPr>
          <w:rFonts w:hint="eastAsia" w:ascii="华文楷体" w:hAnsi="华文楷体" w:eastAsia="华文楷体" w:cs="华文楷体"/>
          <w:sz w:val="24"/>
          <w:lang w:val="en-US" w:eastAsia="zh-CN"/>
        </w:rPr>
        <w:t>2.4.2</w:t>
      </w:r>
      <w:r>
        <w:rPr>
          <w:rFonts w:ascii="华文楷体" w:hAnsi="华文楷体" w:eastAsia="华文楷体" w:cs="华文楷体"/>
          <w:sz w:val="24"/>
        </w:rPr>
        <w:t>大写金额和小写金额不一致的，以大写金额为准；</w:t>
      </w:r>
    </w:p>
    <w:p>
      <w:pPr>
        <w:spacing w:line="360" w:lineRule="auto"/>
        <w:rPr>
          <w:rFonts w:ascii="华文楷体" w:hAnsi="华文楷体" w:eastAsia="华文楷体" w:cs="华文楷体"/>
          <w:sz w:val="24"/>
        </w:rPr>
      </w:pPr>
      <w:r>
        <w:rPr>
          <w:rFonts w:hint="eastAsia" w:ascii="华文楷体" w:hAnsi="华文楷体" w:eastAsia="华文楷体" w:cs="华文楷体"/>
          <w:sz w:val="24"/>
          <w:lang w:val="en-US" w:eastAsia="zh-CN"/>
        </w:rPr>
        <w:t>2.4.3</w:t>
      </w:r>
      <w:r>
        <w:rPr>
          <w:rFonts w:ascii="华文楷体" w:hAnsi="华文楷体" w:eastAsia="华文楷体" w:cs="华文楷体"/>
          <w:sz w:val="24"/>
        </w:rPr>
        <w:t>单价金额小数点或者百分比有明显错位的，以开标一览表的总价为准，并修改单价；</w:t>
      </w:r>
    </w:p>
    <w:p>
      <w:pPr>
        <w:spacing w:line="360" w:lineRule="auto"/>
        <w:rPr>
          <w:rFonts w:ascii="华文楷体" w:hAnsi="华文楷体" w:eastAsia="华文楷体" w:cs="华文楷体"/>
          <w:sz w:val="24"/>
        </w:rPr>
      </w:pPr>
      <w:r>
        <w:rPr>
          <w:rFonts w:hint="eastAsia" w:ascii="华文楷体" w:hAnsi="华文楷体" w:eastAsia="华文楷体" w:cs="华文楷体"/>
          <w:sz w:val="24"/>
          <w:lang w:val="en-US" w:eastAsia="zh-CN"/>
        </w:rPr>
        <w:t>2.4.4</w:t>
      </w:r>
      <w:r>
        <w:rPr>
          <w:rFonts w:ascii="华文楷体" w:hAnsi="华文楷体" w:eastAsia="华文楷体" w:cs="华文楷体"/>
          <w:sz w:val="24"/>
        </w:rPr>
        <w:t>总价金额与按单价汇总金额不一致的，以单价金额计算结果为准。</w:t>
      </w:r>
      <w:r>
        <w:rPr>
          <w:rFonts w:ascii="华文楷体" w:hAnsi="华文楷体" w:eastAsia="华文楷体" w:cs="华文楷体"/>
          <w:b/>
          <w:bCs/>
          <w:sz w:val="24"/>
        </w:rPr>
        <w:t>所有计算结果均保留小数点后两位</w:t>
      </w:r>
      <w:r>
        <w:rPr>
          <w:rFonts w:ascii="华文楷体" w:hAnsi="华文楷体" w:eastAsia="华文楷体" w:cs="华文楷体"/>
          <w:sz w:val="24"/>
        </w:rPr>
        <w:t>，小数点后第三位“四舍五入”。</w:t>
      </w:r>
    </w:p>
    <w:p>
      <w:pPr>
        <w:spacing w:line="360" w:lineRule="auto"/>
        <w:rPr>
          <w:rFonts w:ascii="华文楷体" w:hAnsi="华文楷体" w:eastAsia="华文楷体" w:cs="华文楷体"/>
          <w:sz w:val="24"/>
        </w:rPr>
      </w:pPr>
      <w:r>
        <w:rPr>
          <w:rFonts w:ascii="华文楷体" w:hAnsi="华文楷体" w:eastAsia="华文楷体" w:cs="华文楷体"/>
          <w:sz w:val="24"/>
        </w:rPr>
        <w:t>★2.</w:t>
      </w:r>
      <w:r>
        <w:rPr>
          <w:rFonts w:hint="eastAsia" w:ascii="华文楷体" w:hAnsi="华文楷体" w:eastAsia="华文楷体" w:cs="华文楷体"/>
          <w:sz w:val="24"/>
        </w:rPr>
        <w:t>5</w:t>
      </w:r>
      <w:r>
        <w:rPr>
          <w:rFonts w:hint="eastAsia" w:ascii="华文楷体" w:hAnsi="华文楷体" w:eastAsia="华文楷体" w:cs="华文楷体"/>
          <w:sz w:val="24"/>
          <w:lang w:eastAsia="zh-CN"/>
        </w:rPr>
        <w:t>评审小组</w:t>
      </w:r>
      <w:r>
        <w:rPr>
          <w:rFonts w:ascii="华文楷体" w:hAnsi="华文楷体" w:eastAsia="华文楷体" w:cs="华文楷体"/>
          <w:sz w:val="24"/>
        </w:rPr>
        <w:t>认为</w:t>
      </w:r>
      <w:r>
        <w:rPr>
          <w:rFonts w:hint="eastAsia" w:ascii="华文楷体" w:hAnsi="华文楷体" w:eastAsia="华文楷体" w:cs="华文楷体"/>
          <w:sz w:val="24"/>
          <w:lang w:eastAsia="zh-CN"/>
        </w:rPr>
        <w:t>响应人</w:t>
      </w:r>
      <w:r>
        <w:rPr>
          <w:rFonts w:ascii="华文楷体" w:hAnsi="华文楷体" w:eastAsia="华文楷体" w:cs="华文楷体"/>
          <w:sz w:val="24"/>
        </w:rPr>
        <w:t>的报价明显低于其他通过符合性审查</w:t>
      </w:r>
      <w:r>
        <w:rPr>
          <w:rFonts w:hint="eastAsia" w:ascii="华文楷体" w:hAnsi="华文楷体" w:eastAsia="华文楷体" w:cs="华文楷体"/>
          <w:sz w:val="24"/>
          <w:lang w:eastAsia="zh-CN"/>
        </w:rPr>
        <w:t>响应人</w:t>
      </w:r>
      <w:r>
        <w:rPr>
          <w:rFonts w:ascii="华文楷体" w:hAnsi="华文楷体" w:eastAsia="华文楷体" w:cs="华文楷体"/>
          <w:sz w:val="24"/>
        </w:rPr>
        <w:t>的报价，有可能影响产品质量或者不能诚信履约的，应当要求其在</w:t>
      </w:r>
      <w:r>
        <w:rPr>
          <w:rFonts w:hint="eastAsia" w:ascii="华文楷体" w:hAnsi="华文楷体" w:eastAsia="华文楷体" w:cs="华文楷体"/>
          <w:sz w:val="24"/>
          <w:lang w:eastAsia="zh-CN"/>
        </w:rPr>
        <w:t>评审</w:t>
      </w:r>
      <w:r>
        <w:rPr>
          <w:rFonts w:ascii="华文楷体" w:hAnsi="华文楷体" w:eastAsia="华文楷体" w:cs="华文楷体"/>
          <w:sz w:val="24"/>
        </w:rPr>
        <w:t>现场合理的时间内提供书面说明，必要时提交相关证明材料；</w:t>
      </w:r>
      <w:r>
        <w:rPr>
          <w:rFonts w:hint="eastAsia" w:ascii="华文楷体" w:hAnsi="华文楷体" w:eastAsia="华文楷体" w:cs="华文楷体"/>
          <w:sz w:val="24"/>
          <w:lang w:eastAsia="zh-CN"/>
        </w:rPr>
        <w:t>响应人</w:t>
      </w:r>
      <w:r>
        <w:rPr>
          <w:rFonts w:ascii="华文楷体" w:hAnsi="华文楷体" w:eastAsia="华文楷体" w:cs="华文楷体"/>
          <w:sz w:val="24"/>
        </w:rPr>
        <w:t>不能证明其报价合理性的，</w:t>
      </w:r>
      <w:r>
        <w:rPr>
          <w:rFonts w:hint="eastAsia" w:ascii="华文楷体" w:hAnsi="华文楷体" w:eastAsia="华文楷体" w:cs="华文楷体"/>
          <w:sz w:val="24"/>
          <w:lang w:eastAsia="zh-CN"/>
        </w:rPr>
        <w:t>评审小组</w:t>
      </w:r>
      <w:r>
        <w:rPr>
          <w:rFonts w:ascii="华文楷体" w:hAnsi="华文楷体" w:eastAsia="华文楷体" w:cs="华文楷体"/>
          <w:sz w:val="24"/>
        </w:rPr>
        <w:t>应当将其作为无效</w:t>
      </w:r>
      <w:r>
        <w:rPr>
          <w:rFonts w:hint="eastAsia" w:ascii="华文楷体" w:hAnsi="华文楷体" w:eastAsia="华文楷体" w:cs="华文楷体"/>
          <w:sz w:val="24"/>
          <w:lang w:eastAsia="zh-CN"/>
        </w:rPr>
        <w:t>响应</w:t>
      </w:r>
      <w:r>
        <w:rPr>
          <w:rFonts w:ascii="华文楷体" w:hAnsi="华文楷体" w:eastAsia="华文楷体" w:cs="华文楷体"/>
          <w:sz w:val="24"/>
        </w:rPr>
        <w:t>处理。</w:t>
      </w:r>
    </w:p>
    <w:p>
      <w:pPr>
        <w:pStyle w:val="3"/>
        <w:outlineLvl w:val="1"/>
        <w:rPr>
          <w:rFonts w:ascii="华文楷体" w:hAnsi="华文楷体" w:eastAsia="华文楷体" w:cs="华文楷体"/>
          <w:sz w:val="24"/>
        </w:rPr>
      </w:pPr>
      <w:bookmarkStart w:id="32" w:name="_Toc25186"/>
      <w:bookmarkStart w:id="33" w:name="_Toc1631"/>
      <w:r>
        <w:rPr>
          <w:rFonts w:hint="eastAsia" w:ascii="华文楷体" w:hAnsi="华文楷体" w:eastAsia="华文楷体" w:cs="华文楷体"/>
          <w:sz w:val="24"/>
        </w:rPr>
        <w:t>三、</w:t>
      </w:r>
      <w:r>
        <w:rPr>
          <w:rFonts w:hint="eastAsia" w:ascii="华文楷体" w:hAnsi="华文楷体" w:eastAsia="华文楷体" w:cs="华文楷体"/>
          <w:sz w:val="24"/>
          <w:lang w:eastAsia="zh-CN"/>
        </w:rPr>
        <w:t>响应</w:t>
      </w:r>
      <w:r>
        <w:rPr>
          <w:rFonts w:ascii="华文楷体" w:hAnsi="华文楷体" w:eastAsia="华文楷体" w:cs="华文楷体"/>
          <w:sz w:val="24"/>
        </w:rPr>
        <w:t>文件的澄清</w:t>
      </w:r>
      <w:bookmarkEnd w:id="32"/>
      <w:bookmarkEnd w:id="33"/>
    </w:p>
    <w:p>
      <w:pPr>
        <w:spacing w:line="360" w:lineRule="auto"/>
        <w:rPr>
          <w:rFonts w:ascii="华文楷体" w:hAnsi="华文楷体" w:eastAsia="华文楷体" w:cs="华文楷体"/>
          <w:sz w:val="24"/>
        </w:rPr>
      </w:pPr>
      <w:r>
        <w:rPr>
          <w:rFonts w:ascii="华文楷体" w:hAnsi="华文楷体" w:eastAsia="华文楷体" w:cs="华文楷体"/>
          <w:sz w:val="24"/>
        </w:rPr>
        <w:t>1在</w:t>
      </w:r>
      <w:r>
        <w:rPr>
          <w:rFonts w:hint="eastAsia" w:ascii="华文楷体" w:hAnsi="华文楷体" w:eastAsia="华文楷体" w:cs="华文楷体"/>
          <w:sz w:val="24"/>
          <w:lang w:eastAsia="zh-CN"/>
        </w:rPr>
        <w:t>评审</w:t>
      </w:r>
      <w:r>
        <w:rPr>
          <w:rFonts w:ascii="华文楷体" w:hAnsi="华文楷体" w:eastAsia="华文楷体" w:cs="华文楷体"/>
          <w:sz w:val="24"/>
        </w:rPr>
        <w:t>过程中，</w:t>
      </w:r>
      <w:r>
        <w:rPr>
          <w:rFonts w:hint="eastAsia" w:ascii="华文楷体" w:hAnsi="华文楷体" w:eastAsia="华文楷体" w:cs="华文楷体"/>
          <w:sz w:val="24"/>
          <w:lang w:eastAsia="zh-CN"/>
        </w:rPr>
        <w:t>评审小组</w:t>
      </w:r>
      <w:r>
        <w:rPr>
          <w:rFonts w:ascii="华文楷体" w:hAnsi="华文楷体" w:eastAsia="华文楷体" w:cs="华文楷体"/>
          <w:sz w:val="24"/>
        </w:rPr>
        <w:t>可以书面形式要求</w:t>
      </w:r>
      <w:r>
        <w:rPr>
          <w:rFonts w:hint="eastAsia" w:ascii="华文楷体" w:hAnsi="华文楷体" w:eastAsia="华文楷体" w:cs="华文楷体"/>
          <w:sz w:val="24"/>
          <w:lang w:eastAsia="zh-CN"/>
        </w:rPr>
        <w:t>响应人</w:t>
      </w:r>
      <w:r>
        <w:rPr>
          <w:rFonts w:ascii="华文楷体" w:hAnsi="华文楷体" w:eastAsia="华文楷体" w:cs="华文楷体"/>
          <w:sz w:val="24"/>
        </w:rPr>
        <w:t>对所提交的</w:t>
      </w:r>
      <w:r>
        <w:rPr>
          <w:rFonts w:hint="eastAsia" w:ascii="华文楷体" w:hAnsi="华文楷体" w:eastAsia="华文楷体" w:cs="华文楷体"/>
          <w:sz w:val="24"/>
          <w:lang w:eastAsia="zh-CN"/>
        </w:rPr>
        <w:t>响应</w:t>
      </w:r>
      <w:r>
        <w:rPr>
          <w:rFonts w:ascii="华文楷体" w:hAnsi="华文楷体" w:eastAsia="华文楷体" w:cs="华文楷体"/>
          <w:sz w:val="24"/>
        </w:rPr>
        <w:t>文件中含义不明确、同类问题表述不一致或者有明显文字和计算错误的内容，进行书面澄清或说明。</w:t>
      </w:r>
      <w:r>
        <w:rPr>
          <w:rFonts w:hint="eastAsia" w:ascii="华文楷体" w:hAnsi="华文楷体" w:eastAsia="华文楷体" w:cs="华文楷体"/>
          <w:sz w:val="24"/>
          <w:lang w:eastAsia="zh-CN"/>
        </w:rPr>
        <w:t>评审小组</w:t>
      </w:r>
      <w:r>
        <w:rPr>
          <w:rFonts w:ascii="华文楷体" w:hAnsi="华文楷体" w:eastAsia="华文楷体" w:cs="华文楷体"/>
          <w:sz w:val="24"/>
        </w:rPr>
        <w:t>不接受</w:t>
      </w:r>
      <w:r>
        <w:rPr>
          <w:rFonts w:hint="eastAsia" w:ascii="华文楷体" w:hAnsi="华文楷体" w:eastAsia="华文楷体" w:cs="华文楷体"/>
          <w:sz w:val="24"/>
          <w:lang w:eastAsia="zh-CN"/>
        </w:rPr>
        <w:t>响应人</w:t>
      </w:r>
      <w:r>
        <w:rPr>
          <w:rFonts w:ascii="华文楷体" w:hAnsi="华文楷体" w:eastAsia="华文楷体" w:cs="华文楷体"/>
          <w:sz w:val="24"/>
        </w:rPr>
        <w:t>主动提出的澄清、说明。</w:t>
      </w:r>
    </w:p>
    <w:p>
      <w:pPr>
        <w:spacing w:line="360" w:lineRule="auto"/>
        <w:rPr>
          <w:rFonts w:ascii="华文楷体" w:hAnsi="华文楷体" w:eastAsia="华文楷体" w:cs="华文楷体"/>
          <w:sz w:val="24"/>
        </w:rPr>
      </w:pPr>
      <w:r>
        <w:rPr>
          <w:rFonts w:ascii="华文楷体" w:hAnsi="华文楷体" w:eastAsia="华文楷体" w:cs="华文楷体"/>
          <w:sz w:val="24"/>
        </w:rPr>
        <w:t>2</w:t>
      </w:r>
      <w:r>
        <w:rPr>
          <w:rFonts w:hint="eastAsia" w:ascii="华文楷体" w:hAnsi="华文楷体" w:eastAsia="华文楷体" w:cs="华文楷体"/>
          <w:sz w:val="24"/>
          <w:lang w:eastAsia="zh-CN"/>
        </w:rPr>
        <w:t>响应人</w:t>
      </w:r>
      <w:r>
        <w:rPr>
          <w:rFonts w:ascii="华文楷体" w:hAnsi="华文楷体" w:eastAsia="华文楷体" w:cs="华文楷体"/>
          <w:sz w:val="24"/>
        </w:rPr>
        <w:t>的澄清、说明应当采用书面形式，由法定代表人或其授权的代表签字，澄清事项不得超出</w:t>
      </w:r>
      <w:r>
        <w:rPr>
          <w:rFonts w:hint="eastAsia" w:ascii="华文楷体" w:hAnsi="华文楷体" w:eastAsia="华文楷体" w:cs="华文楷体"/>
          <w:sz w:val="24"/>
          <w:lang w:eastAsia="zh-CN"/>
        </w:rPr>
        <w:t>响应</w:t>
      </w:r>
      <w:r>
        <w:rPr>
          <w:rFonts w:ascii="华文楷体" w:hAnsi="华文楷体" w:eastAsia="华文楷体" w:cs="华文楷体"/>
          <w:sz w:val="24"/>
        </w:rPr>
        <w:t>文件的范围并不得改变</w:t>
      </w:r>
      <w:r>
        <w:rPr>
          <w:rFonts w:hint="eastAsia" w:ascii="华文楷体" w:hAnsi="华文楷体" w:eastAsia="华文楷体" w:cs="华文楷体"/>
          <w:sz w:val="24"/>
          <w:lang w:eastAsia="zh-CN"/>
        </w:rPr>
        <w:t>响应</w:t>
      </w:r>
      <w:r>
        <w:rPr>
          <w:rFonts w:ascii="华文楷体" w:hAnsi="华文楷体" w:eastAsia="华文楷体" w:cs="华文楷体"/>
          <w:sz w:val="24"/>
        </w:rPr>
        <w:t>文件的实质性内容（算术性错误修正的除外）。</w:t>
      </w:r>
      <w:r>
        <w:rPr>
          <w:rFonts w:hint="eastAsia" w:ascii="华文楷体" w:hAnsi="华文楷体" w:eastAsia="华文楷体" w:cs="华文楷体"/>
          <w:sz w:val="24"/>
          <w:lang w:eastAsia="zh-CN"/>
        </w:rPr>
        <w:t>响应人</w:t>
      </w:r>
      <w:r>
        <w:rPr>
          <w:rFonts w:ascii="华文楷体" w:hAnsi="华文楷体" w:eastAsia="华文楷体" w:cs="华文楷体"/>
          <w:sz w:val="24"/>
        </w:rPr>
        <w:t>的书面澄清、说明属于</w:t>
      </w:r>
      <w:r>
        <w:rPr>
          <w:rFonts w:hint="eastAsia" w:ascii="华文楷体" w:hAnsi="华文楷体" w:eastAsia="华文楷体" w:cs="华文楷体"/>
          <w:sz w:val="24"/>
          <w:lang w:eastAsia="zh-CN"/>
        </w:rPr>
        <w:t>响应</w:t>
      </w:r>
      <w:r>
        <w:rPr>
          <w:rFonts w:ascii="华文楷体" w:hAnsi="华文楷体" w:eastAsia="华文楷体" w:cs="华文楷体"/>
          <w:sz w:val="24"/>
        </w:rPr>
        <w:t>文件的组成部分。</w:t>
      </w:r>
    </w:p>
    <w:p>
      <w:pPr>
        <w:spacing w:line="360" w:lineRule="auto"/>
        <w:rPr>
          <w:rFonts w:ascii="华文楷体" w:hAnsi="华文楷体" w:eastAsia="华文楷体" w:cs="华文楷体"/>
          <w:sz w:val="24"/>
        </w:rPr>
      </w:pPr>
      <w:r>
        <w:rPr>
          <w:rFonts w:ascii="华文楷体" w:hAnsi="华文楷体" w:eastAsia="华文楷体" w:cs="华文楷体"/>
          <w:sz w:val="24"/>
        </w:rPr>
        <w:t>3</w:t>
      </w:r>
      <w:r>
        <w:rPr>
          <w:rFonts w:hint="eastAsia" w:ascii="华文楷体" w:hAnsi="华文楷体" w:eastAsia="华文楷体" w:cs="华文楷体"/>
          <w:sz w:val="24"/>
          <w:lang w:eastAsia="zh-CN"/>
        </w:rPr>
        <w:t>评审小组</w:t>
      </w:r>
      <w:r>
        <w:rPr>
          <w:rFonts w:ascii="华文楷体" w:hAnsi="华文楷体" w:eastAsia="华文楷体" w:cs="华文楷体"/>
          <w:sz w:val="24"/>
        </w:rPr>
        <w:t>对</w:t>
      </w:r>
      <w:r>
        <w:rPr>
          <w:rFonts w:hint="eastAsia" w:ascii="华文楷体" w:hAnsi="华文楷体" w:eastAsia="华文楷体" w:cs="华文楷体"/>
          <w:sz w:val="24"/>
          <w:lang w:eastAsia="zh-CN"/>
        </w:rPr>
        <w:t>响应人</w:t>
      </w:r>
      <w:r>
        <w:rPr>
          <w:rFonts w:ascii="华文楷体" w:hAnsi="华文楷体" w:eastAsia="华文楷体" w:cs="华文楷体"/>
          <w:sz w:val="24"/>
        </w:rPr>
        <w:t>提交的澄清、说明有疑问的，可以要求</w:t>
      </w:r>
      <w:r>
        <w:rPr>
          <w:rFonts w:hint="eastAsia" w:ascii="华文楷体" w:hAnsi="华文楷体" w:eastAsia="华文楷体" w:cs="华文楷体"/>
          <w:sz w:val="24"/>
          <w:lang w:eastAsia="zh-CN"/>
        </w:rPr>
        <w:t>响应人</w:t>
      </w:r>
      <w:r>
        <w:rPr>
          <w:rFonts w:ascii="华文楷体" w:hAnsi="华文楷体" w:eastAsia="华文楷体" w:cs="华文楷体"/>
          <w:sz w:val="24"/>
        </w:rPr>
        <w:t>进一步澄清、说明。</w:t>
      </w:r>
    </w:p>
    <w:p>
      <w:pPr>
        <w:pStyle w:val="3"/>
        <w:outlineLvl w:val="1"/>
        <w:rPr>
          <w:rFonts w:ascii="华文楷体" w:hAnsi="华文楷体" w:eastAsia="华文楷体" w:cs="华文楷体"/>
          <w:sz w:val="24"/>
        </w:rPr>
      </w:pPr>
      <w:bookmarkStart w:id="34" w:name="_Toc28117"/>
      <w:bookmarkStart w:id="35" w:name="_Toc14055"/>
      <w:r>
        <w:rPr>
          <w:rFonts w:hint="eastAsia" w:ascii="华文楷体" w:hAnsi="华文楷体" w:eastAsia="华文楷体" w:cs="华文楷体"/>
          <w:sz w:val="24"/>
        </w:rPr>
        <w:t>四、</w:t>
      </w:r>
      <w:r>
        <w:rPr>
          <w:rFonts w:hint="eastAsia" w:ascii="华文楷体" w:hAnsi="华文楷体" w:eastAsia="华文楷体" w:cs="华文楷体"/>
          <w:sz w:val="24"/>
          <w:lang w:eastAsia="zh-CN"/>
        </w:rPr>
        <w:t>评审</w:t>
      </w:r>
      <w:r>
        <w:rPr>
          <w:rFonts w:ascii="华文楷体" w:hAnsi="华文楷体" w:eastAsia="华文楷体" w:cs="华文楷体"/>
          <w:sz w:val="24"/>
        </w:rPr>
        <w:t>结果</w:t>
      </w:r>
      <w:bookmarkEnd w:id="34"/>
      <w:bookmarkEnd w:id="35"/>
    </w:p>
    <w:p>
      <w:pPr>
        <w:spacing w:line="360" w:lineRule="auto"/>
        <w:rPr>
          <w:rFonts w:hint="eastAsia" w:ascii="华文楷体" w:hAnsi="华文楷体" w:eastAsia="华文楷体" w:cs="华文楷体"/>
          <w:sz w:val="24"/>
          <w:lang w:eastAsia="zh-CN"/>
        </w:rPr>
      </w:pPr>
      <w:r>
        <w:rPr>
          <w:rFonts w:hint="eastAsia" w:ascii="华文楷体" w:hAnsi="华文楷体" w:eastAsia="华文楷体" w:cs="华文楷体"/>
          <w:sz w:val="24"/>
          <w:lang w:eastAsia="zh-CN"/>
        </w:rPr>
        <w:t>评审小组</w:t>
      </w:r>
      <w:r>
        <w:rPr>
          <w:rFonts w:hint="eastAsia" w:ascii="华文楷体" w:hAnsi="华文楷体" w:eastAsia="华文楷体" w:cs="华文楷体"/>
          <w:b w:val="0"/>
          <w:bCs w:val="0"/>
          <w:sz w:val="24"/>
        </w:rPr>
        <w:t>按总得分由高到低的顺序推荐第一名为</w:t>
      </w:r>
      <w:r>
        <w:rPr>
          <w:rFonts w:hint="eastAsia" w:ascii="华文楷体" w:hAnsi="华文楷体" w:eastAsia="华文楷体" w:cs="华文楷体"/>
          <w:b w:val="0"/>
          <w:bCs w:val="0"/>
          <w:sz w:val="24"/>
          <w:lang w:val="en-US" w:eastAsia="zh-CN"/>
        </w:rPr>
        <w:t>采购中</w:t>
      </w:r>
      <w:r>
        <w:rPr>
          <w:rFonts w:hint="eastAsia" w:ascii="华文楷体" w:hAnsi="华文楷体" w:eastAsia="华文楷体" w:cs="华文楷体"/>
          <w:b w:val="0"/>
          <w:bCs w:val="0"/>
          <w:sz w:val="24"/>
        </w:rPr>
        <w:t>选人，第二名为</w:t>
      </w:r>
      <w:r>
        <w:rPr>
          <w:rFonts w:hint="eastAsia" w:ascii="华文楷体" w:hAnsi="华文楷体" w:eastAsia="华文楷体" w:cs="华文楷体"/>
          <w:b w:val="0"/>
          <w:bCs w:val="0"/>
          <w:sz w:val="24"/>
          <w:lang w:val="en-US" w:eastAsia="zh-CN"/>
        </w:rPr>
        <w:t>采购备选</w:t>
      </w:r>
      <w:r>
        <w:rPr>
          <w:rFonts w:hint="eastAsia" w:ascii="华文楷体" w:hAnsi="华文楷体" w:eastAsia="华文楷体" w:cs="华文楷体"/>
          <w:b w:val="0"/>
          <w:bCs w:val="0"/>
          <w:sz w:val="24"/>
        </w:rPr>
        <w:t>人。得分相同的，按响应报价由低到高顺序排序。得分且响应报价相同的并列。响应文件满足本次采购全部实质性要求，且按照评审因素的量化指标评审得分最高的响应人为排名第一的</w:t>
      </w:r>
      <w:r>
        <w:rPr>
          <w:rFonts w:hint="eastAsia" w:ascii="华文楷体" w:hAnsi="华文楷体" w:eastAsia="华文楷体" w:cs="华文楷体"/>
          <w:b w:val="0"/>
          <w:bCs w:val="0"/>
          <w:sz w:val="24"/>
          <w:lang w:val="en-US" w:eastAsia="zh-CN"/>
        </w:rPr>
        <w:t>采购中</w:t>
      </w:r>
      <w:r>
        <w:rPr>
          <w:rFonts w:hint="eastAsia" w:ascii="华文楷体" w:hAnsi="华文楷体" w:eastAsia="华文楷体" w:cs="华文楷体"/>
          <w:b w:val="0"/>
          <w:bCs w:val="0"/>
          <w:sz w:val="24"/>
        </w:rPr>
        <w:t>选人</w:t>
      </w:r>
      <w:r>
        <w:rPr>
          <w:rFonts w:hint="eastAsia" w:ascii="华文楷体" w:hAnsi="华文楷体" w:eastAsia="华文楷体" w:cs="华文楷体"/>
          <w:b w:val="0"/>
          <w:bCs w:val="0"/>
          <w:sz w:val="24"/>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embedRegular r:id="rId1" w:fontKey="{B41F7461-D836-43E5-99D7-0D81F36C6053}"/>
  </w:font>
  <w:font w:name="方正楷体_GBK">
    <w:panose1 w:val="03000509000000000000"/>
    <w:charset w:val="86"/>
    <w:family w:val="auto"/>
    <w:pitch w:val="default"/>
    <w:sig w:usb0="00000001" w:usb1="080E0000" w:usb2="00000000" w:usb3="00000000" w:csb0="00040000" w:csb1="00000000"/>
    <w:embedRegular r:id="rId2" w:fontKey="{287863F5-4778-4AA0-9C6E-F0C6F9A84FD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xZTUxMzg3NmY5ZjYyZjAyOGJkZjg5ZDVkMzc0YmYifQ=="/>
  </w:docVars>
  <w:rsids>
    <w:rsidRoot w:val="68ED23A1"/>
    <w:rsid w:val="00183996"/>
    <w:rsid w:val="004D72FC"/>
    <w:rsid w:val="006C5A58"/>
    <w:rsid w:val="00EA7AED"/>
    <w:rsid w:val="01696297"/>
    <w:rsid w:val="018C6DB8"/>
    <w:rsid w:val="03AC1080"/>
    <w:rsid w:val="047D014D"/>
    <w:rsid w:val="05063A65"/>
    <w:rsid w:val="05CB2422"/>
    <w:rsid w:val="06226BEE"/>
    <w:rsid w:val="068F4112"/>
    <w:rsid w:val="09042ECC"/>
    <w:rsid w:val="09075307"/>
    <w:rsid w:val="0932531A"/>
    <w:rsid w:val="09CE2DA4"/>
    <w:rsid w:val="0AB954AA"/>
    <w:rsid w:val="0ADA598E"/>
    <w:rsid w:val="0C1338DB"/>
    <w:rsid w:val="0C612D6C"/>
    <w:rsid w:val="0D734E63"/>
    <w:rsid w:val="0E643415"/>
    <w:rsid w:val="0E855FC4"/>
    <w:rsid w:val="0EC67DB4"/>
    <w:rsid w:val="0F9D4B12"/>
    <w:rsid w:val="0F9E7AAB"/>
    <w:rsid w:val="0FA5199F"/>
    <w:rsid w:val="11B11D83"/>
    <w:rsid w:val="12BE1D47"/>
    <w:rsid w:val="12D83014"/>
    <w:rsid w:val="13697223"/>
    <w:rsid w:val="13AC2993"/>
    <w:rsid w:val="13DE46BF"/>
    <w:rsid w:val="14365D9D"/>
    <w:rsid w:val="144F2FB5"/>
    <w:rsid w:val="145372F0"/>
    <w:rsid w:val="15EA738E"/>
    <w:rsid w:val="16401C78"/>
    <w:rsid w:val="16591E84"/>
    <w:rsid w:val="174E378A"/>
    <w:rsid w:val="17621B1C"/>
    <w:rsid w:val="17990AC3"/>
    <w:rsid w:val="185B4CFD"/>
    <w:rsid w:val="19C0586F"/>
    <w:rsid w:val="19D74CFB"/>
    <w:rsid w:val="1ABE0B46"/>
    <w:rsid w:val="1AEB4C02"/>
    <w:rsid w:val="1AEE6F4C"/>
    <w:rsid w:val="1C89648F"/>
    <w:rsid w:val="1CC81301"/>
    <w:rsid w:val="1CD12633"/>
    <w:rsid w:val="1DAC0F64"/>
    <w:rsid w:val="1DB41365"/>
    <w:rsid w:val="1E7F64EB"/>
    <w:rsid w:val="1ED25815"/>
    <w:rsid w:val="203C0637"/>
    <w:rsid w:val="20DB3EAF"/>
    <w:rsid w:val="2159170D"/>
    <w:rsid w:val="21640853"/>
    <w:rsid w:val="221B7BEB"/>
    <w:rsid w:val="2252000B"/>
    <w:rsid w:val="23E11C32"/>
    <w:rsid w:val="23E5533A"/>
    <w:rsid w:val="24073473"/>
    <w:rsid w:val="25ED45CC"/>
    <w:rsid w:val="270E7C35"/>
    <w:rsid w:val="280963E2"/>
    <w:rsid w:val="284B6511"/>
    <w:rsid w:val="295A7282"/>
    <w:rsid w:val="29DB6845"/>
    <w:rsid w:val="2A1F4715"/>
    <w:rsid w:val="2A4B1276"/>
    <w:rsid w:val="2A601E62"/>
    <w:rsid w:val="2ADE7ED4"/>
    <w:rsid w:val="2AE714EE"/>
    <w:rsid w:val="2AF20BB1"/>
    <w:rsid w:val="2B02159F"/>
    <w:rsid w:val="2C0B4C88"/>
    <w:rsid w:val="2E335F99"/>
    <w:rsid w:val="2F7A4730"/>
    <w:rsid w:val="31261223"/>
    <w:rsid w:val="31871B4D"/>
    <w:rsid w:val="31AF140A"/>
    <w:rsid w:val="31D06B2D"/>
    <w:rsid w:val="31ED5FEB"/>
    <w:rsid w:val="32110677"/>
    <w:rsid w:val="32291EC6"/>
    <w:rsid w:val="323B3CAF"/>
    <w:rsid w:val="3257620E"/>
    <w:rsid w:val="32691E1B"/>
    <w:rsid w:val="327B0B4B"/>
    <w:rsid w:val="32DF0A54"/>
    <w:rsid w:val="338225B9"/>
    <w:rsid w:val="344528F5"/>
    <w:rsid w:val="35191A11"/>
    <w:rsid w:val="35211D9B"/>
    <w:rsid w:val="371500A9"/>
    <w:rsid w:val="381F418F"/>
    <w:rsid w:val="38E72CA7"/>
    <w:rsid w:val="39DE67D4"/>
    <w:rsid w:val="3A994B5D"/>
    <w:rsid w:val="3B1251B1"/>
    <w:rsid w:val="3B1F7166"/>
    <w:rsid w:val="3B7B3872"/>
    <w:rsid w:val="3C577B69"/>
    <w:rsid w:val="3C8E29D2"/>
    <w:rsid w:val="3C9A663B"/>
    <w:rsid w:val="3D5974B2"/>
    <w:rsid w:val="3E461AAC"/>
    <w:rsid w:val="3EB23D9E"/>
    <w:rsid w:val="41125031"/>
    <w:rsid w:val="41634E9A"/>
    <w:rsid w:val="41AD2574"/>
    <w:rsid w:val="41F64EA7"/>
    <w:rsid w:val="429C4E23"/>
    <w:rsid w:val="42B66655"/>
    <w:rsid w:val="43807971"/>
    <w:rsid w:val="44B925B3"/>
    <w:rsid w:val="44BE0132"/>
    <w:rsid w:val="44EB30FF"/>
    <w:rsid w:val="451352A6"/>
    <w:rsid w:val="457041C4"/>
    <w:rsid w:val="45E95171"/>
    <w:rsid w:val="46423675"/>
    <w:rsid w:val="47220EF6"/>
    <w:rsid w:val="4852651A"/>
    <w:rsid w:val="491606A8"/>
    <w:rsid w:val="492B27BE"/>
    <w:rsid w:val="49522850"/>
    <w:rsid w:val="4BA47EEA"/>
    <w:rsid w:val="4BBB0C9C"/>
    <w:rsid w:val="4C475CD3"/>
    <w:rsid w:val="4C745061"/>
    <w:rsid w:val="4E056412"/>
    <w:rsid w:val="4E7628FD"/>
    <w:rsid w:val="4F211887"/>
    <w:rsid w:val="4F8D18F2"/>
    <w:rsid w:val="4FEF2F8E"/>
    <w:rsid w:val="500B3C3D"/>
    <w:rsid w:val="50AD62CB"/>
    <w:rsid w:val="52330126"/>
    <w:rsid w:val="528D7BAD"/>
    <w:rsid w:val="53563EF3"/>
    <w:rsid w:val="54E62EC5"/>
    <w:rsid w:val="5509232A"/>
    <w:rsid w:val="56A42CC7"/>
    <w:rsid w:val="579348A0"/>
    <w:rsid w:val="58641B21"/>
    <w:rsid w:val="589241B7"/>
    <w:rsid w:val="59861A37"/>
    <w:rsid w:val="59DE232E"/>
    <w:rsid w:val="5AB407E7"/>
    <w:rsid w:val="5AEC3313"/>
    <w:rsid w:val="5B0C6EC7"/>
    <w:rsid w:val="5B702433"/>
    <w:rsid w:val="5BCF61C0"/>
    <w:rsid w:val="5D2D6307"/>
    <w:rsid w:val="5D45372C"/>
    <w:rsid w:val="5D956ADA"/>
    <w:rsid w:val="5DEF5207"/>
    <w:rsid w:val="5DFA58AF"/>
    <w:rsid w:val="5E286656"/>
    <w:rsid w:val="5E797935"/>
    <w:rsid w:val="5EAE3D6B"/>
    <w:rsid w:val="5F2A6567"/>
    <w:rsid w:val="5F833E6F"/>
    <w:rsid w:val="5FAE3A14"/>
    <w:rsid w:val="600A22E9"/>
    <w:rsid w:val="61DD16C6"/>
    <w:rsid w:val="632E6AB0"/>
    <w:rsid w:val="63464119"/>
    <w:rsid w:val="6379145E"/>
    <w:rsid w:val="64EA46E6"/>
    <w:rsid w:val="65DE429C"/>
    <w:rsid w:val="660C7F1F"/>
    <w:rsid w:val="67710F5B"/>
    <w:rsid w:val="67D53C16"/>
    <w:rsid w:val="681761A6"/>
    <w:rsid w:val="688370C4"/>
    <w:rsid w:val="68C71A5D"/>
    <w:rsid w:val="68ED23A1"/>
    <w:rsid w:val="698B7E77"/>
    <w:rsid w:val="69A513E9"/>
    <w:rsid w:val="6B1E145A"/>
    <w:rsid w:val="6B4E599E"/>
    <w:rsid w:val="6C6C62C2"/>
    <w:rsid w:val="6CDC45D7"/>
    <w:rsid w:val="6CE81170"/>
    <w:rsid w:val="6CEF4F0F"/>
    <w:rsid w:val="6D773236"/>
    <w:rsid w:val="6FD47300"/>
    <w:rsid w:val="7006779F"/>
    <w:rsid w:val="709629D8"/>
    <w:rsid w:val="70AA7461"/>
    <w:rsid w:val="70F62E47"/>
    <w:rsid w:val="71D359E0"/>
    <w:rsid w:val="72862412"/>
    <w:rsid w:val="7334527D"/>
    <w:rsid w:val="73A537A6"/>
    <w:rsid w:val="74165DE6"/>
    <w:rsid w:val="74172592"/>
    <w:rsid w:val="74181AC7"/>
    <w:rsid w:val="754B3E84"/>
    <w:rsid w:val="761A0506"/>
    <w:rsid w:val="778E76C8"/>
    <w:rsid w:val="78C66E6E"/>
    <w:rsid w:val="78E42BC9"/>
    <w:rsid w:val="79100D42"/>
    <w:rsid w:val="79FD69F6"/>
    <w:rsid w:val="7C4D1419"/>
    <w:rsid w:val="7EFE5E90"/>
    <w:rsid w:val="7F9E19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3">
    <w:name w:val="heading 3"/>
    <w:basedOn w:val="1"/>
    <w:next w:val="1"/>
    <w:unhideWhenUsed/>
    <w:qFormat/>
    <w:uiPriority w:val="0"/>
    <w:pPr>
      <w:keepNext/>
      <w:keepLines/>
      <w:spacing w:before="260" w:after="260" w:line="413" w:lineRule="auto"/>
      <w:outlineLvl w:val="2"/>
    </w:pPr>
    <w:rPr>
      <w:b/>
      <w:sz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qFormat/>
    <w:uiPriority w:val="0"/>
    <w:pPr>
      <w:widowControl w:val="0"/>
      <w:spacing w:after="120"/>
      <w:jc w:val="both"/>
    </w:pPr>
    <w:rPr>
      <w:rFonts w:ascii="Calibri" w:hAnsi="Calibri" w:eastAsia="宋体" w:cs="Times New Roman"/>
      <w:kern w:val="2"/>
      <w:sz w:val="21"/>
      <w:szCs w:val="24"/>
      <w:lang w:val="zh-CN" w:eastAsia="zh-CN" w:bidi="ar-SA"/>
    </w:rPr>
  </w:style>
  <w:style w:type="paragraph" w:styleId="5">
    <w:name w:val="toc 3"/>
    <w:basedOn w:val="1"/>
    <w:next w:val="1"/>
    <w:qFormat/>
    <w:uiPriority w:val="0"/>
    <w:pPr>
      <w:ind w:left="840" w:leftChars="400"/>
    </w:pPr>
  </w:style>
  <w:style w:type="paragraph" w:styleId="6">
    <w:name w:val="Plain Text"/>
    <w:qFormat/>
    <w:uiPriority w:val="0"/>
    <w:pPr>
      <w:widowControl w:val="0"/>
      <w:jc w:val="both"/>
    </w:pPr>
    <w:rPr>
      <w:rFonts w:ascii="宋体" w:hAnsi="Calibri" w:eastAsia="宋体" w:cs="Times New Roman"/>
      <w:kern w:val="2"/>
      <w:sz w:val="21"/>
      <w:lang w:val="en-US" w:eastAsia="zh-CN" w:bidi="ar-SA"/>
    </w:rPr>
  </w:style>
  <w:style w:type="paragraph" w:styleId="7">
    <w:name w:val="toc 2"/>
    <w:basedOn w:val="1"/>
    <w:next w:val="1"/>
    <w:qFormat/>
    <w:uiPriority w:val="0"/>
    <w:pPr>
      <w:ind w:left="420" w:leftChars="200"/>
    </w:pPr>
  </w:style>
  <w:style w:type="character" w:styleId="10">
    <w:name w:val="Hyperlink"/>
    <w:basedOn w:val="9"/>
    <w:qFormat/>
    <w:uiPriority w:val="0"/>
    <w:rPr>
      <w:color w:val="0000FF"/>
      <w:u w:val="single"/>
    </w:rPr>
  </w:style>
  <w:style w:type="paragraph" w:customStyle="1" w:styleId="1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12">
    <w:name w:val="WPSOffice手动目录 3"/>
    <w:qFormat/>
    <w:uiPriority w:val="0"/>
    <w:pPr>
      <w:ind w:left="400" w:leftChars="400"/>
    </w:pPr>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5881</Words>
  <Characters>6202</Characters>
  <Lines>70</Lines>
  <Paragraphs>19</Paragraphs>
  <TotalTime>1</TotalTime>
  <ScaleCrop>false</ScaleCrop>
  <LinksUpToDate>false</LinksUpToDate>
  <CharactersWithSpaces>6359</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2021-12-20T00:24:00Z</dcterms:created>
  <dc:creator>123</dc:creator>
  <cp:lastModifiedBy>Administrator</cp:lastModifiedBy>
  <dcterms:modified xsi:type="dcterms:W3CDTF">2023-03-20T00:43:08Z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1B69E3945E10427684646D490CABEF56</vt:lpwstr>
  </property>
</Properties>
</file>