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306"/>
            </w:tabs>
          </w:pPr>
          <w:r>
            <w:fldChar w:fldCharType="begin"/>
          </w:r>
          <w:r>
            <w:instrText xml:space="preserve">TOC \o "1-3" \h \u </w:instrText>
          </w:r>
          <w:r>
            <w:fldChar w:fldCharType="separate"/>
          </w:r>
          <w:r>
            <w:fldChar w:fldCharType="begin"/>
          </w:r>
          <w:r>
            <w:instrText xml:space="preserve"> HYPERLINK \l _Toc16031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_Toc16031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_Toc8858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_Toc8858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_Toc12209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_Toc12209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_Toc30729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_Toc30729 \h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_Toc16414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_Toc16414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_Toc29875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_Toc29875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_Toc8166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_Toc8166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_Toc13609 </w:instrText>
          </w:r>
          <w:r>
            <w:fldChar w:fldCharType="separate"/>
          </w:r>
          <w:r>
            <w:rPr>
              <w:rFonts w:hint="eastAsia" w:ascii="华文楷体" w:hAnsi="华文楷体" w:eastAsia="华文楷体" w:cs="华文楷体"/>
              <w:szCs w:val="30"/>
              <w:lang w:val="en-US" w:eastAsia="zh-CN"/>
            </w:rPr>
            <w:t>八、配置清单</w:t>
          </w:r>
          <w:r>
            <w:tab/>
          </w:r>
          <w:r>
            <w:fldChar w:fldCharType="begin"/>
          </w:r>
          <w:r>
            <w:instrText xml:space="preserve"> PAGEREF _Toc13609 \h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_Toc7095 </w:instrText>
          </w:r>
          <w:r>
            <w:fldChar w:fldCharType="separate"/>
          </w:r>
          <w:r>
            <w:rPr>
              <w:rFonts w:hint="eastAsia" w:ascii="华文楷体" w:hAnsi="华文楷体" w:eastAsia="华文楷体" w:cs="华文楷体"/>
              <w:szCs w:val="30"/>
              <w:lang w:val="en-US" w:eastAsia="zh-CN"/>
            </w:rPr>
            <w:t>九</w:t>
          </w:r>
          <w:r>
            <w:rPr>
              <w:rFonts w:hint="eastAsia" w:ascii="华文楷体" w:hAnsi="华文楷体" w:eastAsia="华文楷体" w:cs="华文楷体"/>
              <w:szCs w:val="30"/>
              <w:lang w:val="zh-CN" w:eastAsia="zh-CN"/>
            </w:rPr>
            <w:t>、技术规格偏离表</w:t>
          </w:r>
          <w:r>
            <w:tab/>
          </w:r>
          <w:r>
            <w:fldChar w:fldCharType="begin"/>
          </w:r>
          <w:r>
            <w:instrText xml:space="preserve"> PAGEREF _Toc7095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_Toc29755 </w:instrText>
          </w:r>
          <w:r>
            <w:fldChar w:fldCharType="separate"/>
          </w:r>
          <w:r>
            <w:rPr>
              <w:rFonts w:hint="eastAsia" w:ascii="华文楷体" w:hAnsi="华文楷体" w:eastAsia="华文楷体" w:cs="华文楷体"/>
              <w:szCs w:val="30"/>
              <w:lang w:val="en-US" w:eastAsia="zh-CN"/>
            </w:rPr>
            <w:t>十、资格证明文件</w:t>
          </w:r>
          <w:r>
            <w:tab/>
          </w:r>
          <w:r>
            <w:fldChar w:fldCharType="begin"/>
          </w:r>
          <w:r>
            <w:instrText xml:space="preserve"> PAGEREF _Toc29755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_Toc2198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_Toc2198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_Toc27264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_Toc27264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_Toc15805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_Toc15805 \h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_Toc5960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_Toc5960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_Toc5712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_Toc5712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_Toc9710 </w:instrText>
          </w:r>
          <w:r>
            <w:fldChar w:fldCharType="separate"/>
          </w:r>
          <w:r>
            <w:rPr>
              <w:rFonts w:hint="eastAsia" w:ascii="华文楷体" w:hAnsi="华文楷体" w:eastAsia="华文楷体" w:cs="华文楷体"/>
              <w:szCs w:val="30"/>
              <w:lang w:val="en-US" w:eastAsia="zh-CN"/>
            </w:rPr>
            <w:t>十一、备品备件及长期最优惠供货价格</w:t>
          </w:r>
          <w:r>
            <w:tab/>
          </w:r>
          <w:r>
            <w:fldChar w:fldCharType="begin"/>
          </w:r>
          <w:r>
            <w:instrText xml:space="preserve"> PAGEREF _Toc9710 \h </w:instrText>
          </w:r>
          <w:r>
            <w:fldChar w:fldCharType="separate"/>
          </w:r>
          <w:r>
            <w:t>17</w:t>
          </w:r>
          <w:r>
            <w:fldChar w:fldCharType="end"/>
          </w:r>
          <w:r>
            <w:fldChar w:fldCharType="end"/>
          </w:r>
        </w:p>
        <w:p>
          <w:pPr>
            <w:pStyle w:val="16"/>
            <w:tabs>
              <w:tab w:val="right" w:leader="dot" w:pos="8306"/>
            </w:tabs>
          </w:pPr>
          <w:r>
            <w:fldChar w:fldCharType="begin"/>
          </w:r>
          <w:r>
            <w:instrText xml:space="preserve"> HYPERLINK \l _Toc478 </w:instrText>
          </w:r>
          <w:r>
            <w:fldChar w:fldCharType="separate"/>
          </w:r>
          <w:r>
            <w:rPr>
              <w:rFonts w:hint="eastAsia" w:ascii="华文楷体" w:hAnsi="华文楷体" w:eastAsia="华文楷体" w:cs="华文楷体"/>
              <w:szCs w:val="30"/>
              <w:lang w:val="en-US" w:eastAsia="zh-CN"/>
            </w:rPr>
            <w:t>十二、投标人认为有必要提供的其他文件</w:t>
          </w:r>
          <w:r>
            <w:tab/>
          </w:r>
          <w:r>
            <w:fldChar w:fldCharType="begin"/>
          </w:r>
          <w:r>
            <w:instrText xml:space="preserve"> PAGEREF _Toc478 \h </w:instrText>
          </w:r>
          <w:r>
            <w:fldChar w:fldCharType="separate"/>
          </w:r>
          <w:r>
            <w:t>18</w:t>
          </w:r>
          <w:r>
            <w:fldChar w:fldCharType="end"/>
          </w:r>
          <w:r>
            <w:fldChar w:fldCharType="end"/>
          </w:r>
        </w:p>
        <w:p>
          <w:r>
            <w:fldChar w:fldCharType="end"/>
          </w:r>
        </w:p>
      </w:sdtContent>
    </w:sdt>
    <w:p>
      <w:pPr>
        <w:pStyle w:val="8"/>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0" w:name="_Toc16031"/>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12"/>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p>
            <w:pPr>
              <w:pStyle w:val="12"/>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12"/>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 w:name="_Toc8858"/>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 w:name="_Toc12209"/>
      <w:bookmarkStart w:id="3" w:name="_Toc493600033"/>
      <w:bookmarkStart w:id="4" w:name="_Toc87445175"/>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7"/>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5" w:name="_Toc493600035"/>
      <w:bookmarkStart w:id="6" w:name="_Toc30729"/>
      <w:bookmarkStart w:id="7" w:name="_Toc87445176"/>
      <w:bookmarkStart w:id="8" w:name="_Toc213141100"/>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投标人须逐条对应招标文件中要求的商务条款，认真填写该表。商务条款是指：项目需求及技术要求中要求的商务部分、交货期、付款方式、售后服务、履约保证金等要求。</w:t>
      </w:r>
    </w:p>
    <w:p>
      <w:pPr>
        <w:pStyle w:val="12"/>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914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质保期：至少4年，以设备通过终验后开始计算质保期。</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交货期：合同签订或订单下达之日起7</w:t>
            </w:r>
            <w:bookmarkStart w:id="26" w:name="_GoBack"/>
            <w:bookmarkEnd w:id="26"/>
            <w:r>
              <w:rPr>
                <w:rFonts w:hint="eastAsia" w:ascii="华文楷体" w:hAnsi="华文楷体" w:eastAsia="华文楷体" w:cs="华文楷体"/>
                <w:b w:val="0"/>
                <w:bCs w:val="0"/>
                <w:kern w:val="2"/>
                <w:sz w:val="24"/>
                <w:szCs w:val="24"/>
                <w:u w:val="none"/>
                <w:lang w:val="en-US" w:eastAsia="zh-CN" w:bidi="ar-SA"/>
              </w:rPr>
              <w:t>天内完成。</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9" w:name="_Toc16414"/>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0" w:name="_Toc29875"/>
      <w:r>
        <w:rPr>
          <w:rFonts w:hint="eastAsia" w:ascii="华文楷体" w:hAnsi="华文楷体" w:eastAsia="华文楷体" w:cs="华文楷体"/>
          <w:sz w:val="30"/>
          <w:szCs w:val="30"/>
          <w:lang w:val="en-US" w:eastAsia="zh-CN"/>
        </w:rPr>
        <w:t>六、近三年类似供货业绩</w:t>
      </w:r>
      <w:bookmarkEnd w:id="10"/>
    </w:p>
    <w:p>
      <w:pPr>
        <w:jc w:val="left"/>
        <w:rPr>
          <w:rFonts w:hint="default"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（2022年至今投标产品的业绩，以签订合同或发票或中标通知书等能证明业绩的复印件作为证明材料，格式自拟，加盖公章）</w:t>
      </w:r>
    </w:p>
    <w:tbl>
      <w:tblPr>
        <w:tblStyle w:val="17"/>
        <w:tblpPr w:leftFromText="180" w:rightFromText="180" w:vertAnchor="text" w:horzAnchor="page" w:tblpX="1013" w:tblpY="184"/>
        <w:tblOverlap w:val="never"/>
        <w:tblW w:w="102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1"/>
        <w:gridCol w:w="2107"/>
        <w:gridCol w:w="1771"/>
        <w:gridCol w:w="1962"/>
        <w:gridCol w:w="1899"/>
        <w:gridCol w:w="1137"/>
        <w:gridCol w:w="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项目名称</w:t>
            </w: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采购单位名称</w:t>
            </w: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中标产品及型号（与本项目投标产品一致）</w:t>
            </w: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合同金额（万元）</w:t>
            </w: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签订日期</w:t>
            </w: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3</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4</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5</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注：附证明材料扫描件</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1" w:name="_Toc8166"/>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br w:type="page"/>
      </w:r>
    </w:p>
    <w:p>
      <w:pPr>
        <w:pStyle w:val="8"/>
        <w:numPr>
          <w:ilvl w:val="1"/>
          <w:numId w:val="0"/>
        </w:numPr>
        <w:bidi w:val="0"/>
        <w:outlineLvl w:val="0"/>
        <w:rPr>
          <w:rFonts w:hint="default" w:ascii="华文楷体" w:hAnsi="华文楷体" w:eastAsia="华文楷体" w:cs="华文楷体"/>
          <w:sz w:val="30"/>
          <w:szCs w:val="30"/>
          <w:lang w:val="en-US" w:eastAsia="zh-CN"/>
        </w:rPr>
      </w:pPr>
      <w:bookmarkStart w:id="12" w:name="_Toc13609"/>
      <w:r>
        <w:rPr>
          <w:rFonts w:hint="eastAsia" w:ascii="华文楷体" w:hAnsi="华文楷体" w:eastAsia="华文楷体" w:cs="华文楷体"/>
          <w:sz w:val="30"/>
          <w:szCs w:val="30"/>
          <w:lang w:val="en-US" w:eastAsia="zh-CN"/>
        </w:rPr>
        <w:t>八、配置清单</w:t>
      </w:r>
      <w:bookmarkEnd w:id="12"/>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配置清单必须包含产品名称、制造商名称、规格型号及数量。格式自拟。</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13" w:name="_Toc7095"/>
      <w:r>
        <w:rPr>
          <w:rFonts w:hint="eastAsia" w:ascii="华文楷体" w:hAnsi="华文楷体" w:eastAsia="华文楷体" w:cs="华文楷体"/>
          <w:sz w:val="30"/>
          <w:szCs w:val="30"/>
          <w:lang w:val="en-US" w:eastAsia="zh-CN"/>
        </w:rPr>
        <w:t>九</w:t>
      </w:r>
      <w:r>
        <w:rPr>
          <w:rFonts w:hint="eastAsia" w:ascii="华文楷体" w:hAnsi="华文楷体" w:eastAsia="华文楷体" w:cs="华文楷体"/>
          <w:sz w:val="30"/>
          <w:szCs w:val="30"/>
          <w:lang w:val="zh-CN" w:eastAsia="zh-CN"/>
        </w:rPr>
        <w:t>、技术规格偏离表</w:t>
      </w:r>
      <w:bookmarkEnd w:id="13"/>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请按投标产品的实际技术参数，逐条对应项目需求及技术要求中要求的技术规范认真填写该表，该表不能作为投标产品的技术文件。</w:t>
      </w:r>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该产品在项目需求及技术要求中的序号。2、各投标人必须对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4" w:name="_Toc29755"/>
      <w:r>
        <w:rPr>
          <w:rFonts w:hint="eastAsia" w:ascii="华文楷体" w:hAnsi="华文楷体" w:eastAsia="华文楷体" w:cs="华文楷体"/>
          <w:sz w:val="30"/>
          <w:szCs w:val="30"/>
          <w:lang w:val="en-US" w:eastAsia="zh-CN"/>
        </w:rPr>
        <w:t>十、资格证明文件</w:t>
      </w:r>
      <w:bookmarkEnd w:id="14"/>
    </w:p>
    <w:p>
      <w:pPr>
        <w:pStyle w:val="9"/>
        <w:bidi w:val="0"/>
        <w:rPr>
          <w:rFonts w:hint="eastAsia" w:ascii="华文楷体" w:hAnsi="华文楷体" w:eastAsia="华文楷体" w:cs="华文楷体"/>
          <w:sz w:val="24"/>
          <w:szCs w:val="21"/>
          <w:lang w:val="en-US" w:eastAsia="zh-CN"/>
        </w:rPr>
      </w:pPr>
      <w:bookmarkStart w:id="15" w:name="_Toc2198"/>
      <w:r>
        <w:rPr>
          <w:rFonts w:hint="eastAsia" w:ascii="华文楷体" w:hAnsi="华文楷体" w:eastAsia="华文楷体" w:cs="华文楷体"/>
          <w:sz w:val="24"/>
          <w:szCs w:val="21"/>
          <w:lang w:val="en-US" w:eastAsia="zh-CN"/>
        </w:rPr>
        <w:t>营业执照</w:t>
      </w:r>
      <w:bookmarkEnd w:id="15"/>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6" w:name="_Toc27264"/>
      <w:r>
        <w:rPr>
          <w:rFonts w:hint="eastAsia" w:ascii="华文楷体" w:hAnsi="华文楷体" w:eastAsia="华文楷体" w:cs="华文楷体"/>
          <w:sz w:val="24"/>
          <w:szCs w:val="21"/>
          <w:lang w:val="en-US" w:eastAsia="zh-CN"/>
        </w:rPr>
        <w:t>法定代表人身份证明书</w:t>
      </w:r>
      <w:bookmarkEnd w:id="16"/>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7" w:name="_Toc15805"/>
      <w:r>
        <w:rPr>
          <w:rFonts w:hint="eastAsia" w:ascii="华文楷体" w:hAnsi="华文楷体" w:eastAsia="华文楷体" w:cs="华文楷体"/>
          <w:sz w:val="24"/>
          <w:szCs w:val="21"/>
          <w:lang w:val="en-US" w:eastAsia="zh-CN"/>
        </w:rPr>
        <w:t>法定代表人授权委托书</w:t>
      </w:r>
      <w:bookmarkEnd w:id="17"/>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7"/>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12"/>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zh-CN" w:eastAsia="zh-CN"/>
        </w:rPr>
      </w:pPr>
      <w:bookmarkStart w:id="18" w:name="_Toc493600038"/>
      <w:bookmarkStart w:id="19" w:name="_Toc87445179"/>
      <w:bookmarkStart w:id="20" w:name="_Toc5960"/>
      <w:r>
        <w:rPr>
          <w:rFonts w:hint="eastAsia" w:ascii="华文楷体" w:hAnsi="华文楷体" w:eastAsia="华文楷体" w:cs="华文楷体"/>
          <w:sz w:val="24"/>
          <w:szCs w:val="21"/>
          <w:lang w:val="zh-CN" w:eastAsia="zh-CN"/>
        </w:rPr>
        <w:t>投标人信息表</w:t>
      </w:r>
      <w:bookmarkEnd w:id="18"/>
      <w:bookmarkEnd w:id="19"/>
      <w:bookmarkEnd w:id="2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1" w:name="OLE_LINK21"/>
            <w:bookmarkStart w:id="22" w:name="OLE_LINK22"/>
            <w:r>
              <w:rPr>
                <w:rFonts w:hint="eastAsia" w:ascii="华文楷体" w:hAnsi="华文楷体" w:eastAsia="华文楷体" w:cs="华文楷体"/>
                <w:b w:val="0"/>
                <w:bCs w:val="0"/>
                <w:kern w:val="2"/>
                <w:sz w:val="21"/>
                <w:szCs w:val="21"/>
                <w:u w:val="none"/>
                <w:lang w:val="en-US" w:eastAsia="zh-CN" w:bidi="ar-SA"/>
              </w:rPr>
              <w:t>、经销商（生产、经营许可证</w:t>
            </w:r>
            <w:bookmarkEnd w:id="21"/>
            <w:bookmarkEnd w:id="22"/>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23" w:name="_Toc5712"/>
      <w:r>
        <w:rPr>
          <w:rFonts w:hint="eastAsia" w:ascii="华文楷体" w:hAnsi="华文楷体" w:eastAsia="华文楷体" w:cs="华文楷体"/>
          <w:sz w:val="24"/>
          <w:szCs w:val="21"/>
          <w:lang w:val="en-US" w:eastAsia="zh-CN"/>
        </w:rPr>
        <w:t>其他资格证明文件</w:t>
      </w:r>
      <w:bookmarkEnd w:id="23"/>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w:t>
      </w:r>
      <w:r>
        <w:rPr>
          <w:rFonts w:hint="eastAsia" w:ascii="华文楷体" w:hAnsi="华文楷体" w:eastAsia="华文楷体" w:cs="华文楷体"/>
          <w:b w:val="0"/>
          <w:bCs w:val="0"/>
          <w:kern w:val="2"/>
          <w:sz w:val="24"/>
          <w:szCs w:val="24"/>
          <w:u w:val="none"/>
          <w:lang w:val="en-US" w:eastAsia="zh-CN" w:bidi="ar-SA"/>
        </w:rPr>
        <w:t>22</w:t>
      </w:r>
      <w:r>
        <w:rPr>
          <w:rFonts w:hint="default" w:ascii="华文楷体" w:hAnsi="华文楷体" w:eastAsia="华文楷体" w:cs="华文楷体"/>
          <w:b w:val="0"/>
          <w:bCs w:val="0"/>
          <w:kern w:val="2"/>
          <w:sz w:val="24"/>
          <w:szCs w:val="24"/>
          <w:u w:val="none"/>
          <w:lang w:val="en-US" w:eastAsia="zh-CN" w:bidi="ar-SA"/>
        </w:rPr>
        <w:t>年至202</w:t>
      </w:r>
      <w:r>
        <w:rPr>
          <w:rFonts w:hint="eastAsia" w:ascii="华文楷体" w:hAnsi="华文楷体" w:eastAsia="华文楷体" w:cs="华文楷体"/>
          <w:b w:val="0"/>
          <w:bCs w:val="0"/>
          <w:kern w:val="2"/>
          <w:sz w:val="24"/>
          <w:szCs w:val="24"/>
          <w:u w:val="none"/>
          <w:lang w:val="en-US" w:eastAsia="zh-CN" w:bidi="ar-SA"/>
        </w:rPr>
        <w:t>4</w:t>
      </w:r>
      <w:r>
        <w:rPr>
          <w:rFonts w:hint="default" w:ascii="华文楷体" w:hAnsi="华文楷体" w:eastAsia="华文楷体" w:cs="华文楷体"/>
          <w:b w:val="0"/>
          <w:bCs w:val="0"/>
          <w:kern w:val="2"/>
          <w:sz w:val="24"/>
          <w:szCs w:val="24"/>
          <w:u w:val="none"/>
          <w:lang w:val="en-US" w:eastAsia="zh-CN" w:bidi="ar-SA"/>
        </w:rPr>
        <w:t>年任意一年度）经审计的财务审计报告及财务报表（须包括审计报告、资产负债表、利润表、现金流量表），如投标人成立时间不足一年的，提供自成立至今的财务报表或相关情况说明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（3）具有依法缴纳税收和社会保障资金的良好记录，提供202</w:t>
      </w:r>
      <w:r>
        <w:rPr>
          <w:rFonts w:hint="eastAsia" w:ascii="华文楷体" w:hAnsi="华文楷体" w:eastAsia="华文楷体" w:cs="华文楷体"/>
          <w:b w:val="0"/>
          <w:bCs w:val="0"/>
          <w:kern w:val="2"/>
          <w:sz w:val="24"/>
          <w:szCs w:val="24"/>
          <w:u w:val="none"/>
          <w:lang w:val="en-US" w:eastAsia="zh-CN" w:bidi="ar-SA"/>
        </w:rPr>
        <w:t>4</w:t>
      </w:r>
      <w:r>
        <w:rPr>
          <w:rFonts w:hint="default" w:ascii="华文楷体" w:hAnsi="华文楷体" w:eastAsia="华文楷体" w:cs="华文楷体"/>
          <w:b w:val="0"/>
          <w:bCs w:val="0"/>
          <w:kern w:val="2"/>
          <w:sz w:val="24"/>
          <w:szCs w:val="24"/>
          <w:u w:val="none"/>
          <w:lang w:val="en-US" w:eastAsia="zh-CN" w:bidi="ar-SA"/>
        </w:rPr>
        <w:t>年1月至今任意一个季度或年度依法缴纳企业所得税的凭据或提供202</w:t>
      </w:r>
      <w:r>
        <w:rPr>
          <w:rFonts w:hint="eastAsia" w:ascii="华文楷体" w:hAnsi="华文楷体" w:eastAsia="华文楷体" w:cs="华文楷体"/>
          <w:b w:val="0"/>
          <w:bCs w:val="0"/>
          <w:kern w:val="2"/>
          <w:sz w:val="24"/>
          <w:szCs w:val="24"/>
          <w:u w:val="none"/>
          <w:lang w:val="en-US" w:eastAsia="zh-CN" w:bidi="ar-SA"/>
        </w:rPr>
        <w:t>4</w:t>
      </w:r>
      <w:r>
        <w:rPr>
          <w:rFonts w:hint="default" w:ascii="华文楷体" w:hAnsi="华文楷体" w:eastAsia="华文楷体" w:cs="华文楷体"/>
          <w:b w:val="0"/>
          <w:bCs w:val="0"/>
          <w:kern w:val="2"/>
          <w:sz w:val="24"/>
          <w:szCs w:val="24"/>
          <w:u w:val="none"/>
          <w:lang w:val="en-US" w:eastAsia="zh-CN" w:bidi="ar-SA"/>
        </w:rPr>
        <w:t>年1月至今任意3个月依法缴纳增值税的凭据，并提供202</w:t>
      </w:r>
      <w:r>
        <w:rPr>
          <w:rFonts w:hint="eastAsia" w:ascii="华文楷体" w:hAnsi="华文楷体" w:eastAsia="华文楷体" w:cs="华文楷体"/>
          <w:b w:val="0"/>
          <w:bCs w:val="0"/>
          <w:kern w:val="2"/>
          <w:sz w:val="24"/>
          <w:szCs w:val="24"/>
          <w:u w:val="none"/>
          <w:lang w:val="en-US" w:eastAsia="zh-CN" w:bidi="ar-SA"/>
        </w:rPr>
        <w:t>4</w:t>
      </w:r>
      <w:r>
        <w:rPr>
          <w:rFonts w:hint="default" w:ascii="华文楷体" w:hAnsi="华文楷体" w:eastAsia="华文楷体" w:cs="华文楷体"/>
          <w:b w:val="0"/>
          <w:bCs w:val="0"/>
          <w:kern w:val="2"/>
          <w:sz w:val="24"/>
          <w:szCs w:val="24"/>
          <w:u w:val="none"/>
          <w:lang w:val="en-US" w:eastAsia="zh-CN" w:bidi="ar-SA"/>
        </w:rPr>
        <w:t>年1月至今任意3个月缴纳社会保障资金的证明(成立未满3个月的提供成立以来的税收和社会保障资金缴纳凭证或相关情况说明；依法免税或不需要缴纳社会保障资金的供应商，应提供相应文件证明其依法免税或不需要缴纳社会保障资金)</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4" w:name="_Toc9710"/>
      <w:r>
        <w:rPr>
          <w:rFonts w:hint="eastAsia" w:ascii="华文楷体" w:hAnsi="华文楷体" w:eastAsia="华文楷体" w:cs="华文楷体"/>
          <w:sz w:val="30"/>
          <w:szCs w:val="30"/>
          <w:lang w:val="en-US" w:eastAsia="zh-CN"/>
        </w:rPr>
        <w:t>十一、备品备件及长期最优惠供货价格</w:t>
      </w:r>
      <w:bookmarkEnd w:id="24"/>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5" w:name="_Toc478"/>
      <w:r>
        <w:rPr>
          <w:rFonts w:hint="eastAsia" w:ascii="华文楷体" w:hAnsi="华文楷体" w:eastAsia="华文楷体" w:cs="华文楷体"/>
          <w:sz w:val="30"/>
          <w:szCs w:val="30"/>
          <w:lang w:val="en-US" w:eastAsia="zh-CN"/>
        </w:rPr>
        <w:t>十二、投标人认为有必要提供的其他文件</w:t>
      </w:r>
      <w:bookmarkEnd w:id="25"/>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8"/>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1F52620"/>
    <w:rsid w:val="02706EC4"/>
    <w:rsid w:val="03503D6C"/>
    <w:rsid w:val="04322EB9"/>
    <w:rsid w:val="04347B65"/>
    <w:rsid w:val="05111087"/>
    <w:rsid w:val="061D614D"/>
    <w:rsid w:val="08DF4473"/>
    <w:rsid w:val="0D393FC9"/>
    <w:rsid w:val="0D9A1496"/>
    <w:rsid w:val="0F1E4AAF"/>
    <w:rsid w:val="10762BDF"/>
    <w:rsid w:val="12B44329"/>
    <w:rsid w:val="135D0A12"/>
    <w:rsid w:val="144F2FB5"/>
    <w:rsid w:val="1513659E"/>
    <w:rsid w:val="188B28E3"/>
    <w:rsid w:val="1A5861A9"/>
    <w:rsid w:val="1B932335"/>
    <w:rsid w:val="1BDD3C44"/>
    <w:rsid w:val="1C292AE4"/>
    <w:rsid w:val="1E606535"/>
    <w:rsid w:val="203232CB"/>
    <w:rsid w:val="22210E0A"/>
    <w:rsid w:val="244E37D6"/>
    <w:rsid w:val="26E2013A"/>
    <w:rsid w:val="281B1F07"/>
    <w:rsid w:val="2A113C32"/>
    <w:rsid w:val="2AA23D90"/>
    <w:rsid w:val="2AEB6BB7"/>
    <w:rsid w:val="2B63629F"/>
    <w:rsid w:val="2BC65440"/>
    <w:rsid w:val="2D4968BE"/>
    <w:rsid w:val="2F6E0835"/>
    <w:rsid w:val="31913455"/>
    <w:rsid w:val="321E478D"/>
    <w:rsid w:val="32425718"/>
    <w:rsid w:val="33C90985"/>
    <w:rsid w:val="345873FE"/>
    <w:rsid w:val="35C247F2"/>
    <w:rsid w:val="37565737"/>
    <w:rsid w:val="38766AAA"/>
    <w:rsid w:val="38F00C52"/>
    <w:rsid w:val="3B30289A"/>
    <w:rsid w:val="3C2F0E1D"/>
    <w:rsid w:val="3E896745"/>
    <w:rsid w:val="402A0309"/>
    <w:rsid w:val="40D03BCF"/>
    <w:rsid w:val="41106504"/>
    <w:rsid w:val="422034E7"/>
    <w:rsid w:val="426F4017"/>
    <w:rsid w:val="42A77542"/>
    <w:rsid w:val="438D13C5"/>
    <w:rsid w:val="44B66409"/>
    <w:rsid w:val="45680BAE"/>
    <w:rsid w:val="49203136"/>
    <w:rsid w:val="49FB2F07"/>
    <w:rsid w:val="4B306B41"/>
    <w:rsid w:val="4C6E365B"/>
    <w:rsid w:val="4C9E67C3"/>
    <w:rsid w:val="4CDE59E2"/>
    <w:rsid w:val="4D735834"/>
    <w:rsid w:val="4DF84F0A"/>
    <w:rsid w:val="4E2E66ED"/>
    <w:rsid w:val="4EF14EB0"/>
    <w:rsid w:val="51807280"/>
    <w:rsid w:val="52B814BD"/>
    <w:rsid w:val="53962548"/>
    <w:rsid w:val="53AD61F7"/>
    <w:rsid w:val="54BC5D9C"/>
    <w:rsid w:val="560E24E2"/>
    <w:rsid w:val="587E6A84"/>
    <w:rsid w:val="59A94439"/>
    <w:rsid w:val="5AEE04A2"/>
    <w:rsid w:val="5C0D09C8"/>
    <w:rsid w:val="5D47454B"/>
    <w:rsid w:val="5F4E3341"/>
    <w:rsid w:val="607C7F1A"/>
    <w:rsid w:val="60F905B4"/>
    <w:rsid w:val="62DC4D1B"/>
    <w:rsid w:val="62F74F8C"/>
    <w:rsid w:val="647E2B41"/>
    <w:rsid w:val="64D462AF"/>
    <w:rsid w:val="65216151"/>
    <w:rsid w:val="6589514F"/>
    <w:rsid w:val="65C54E1A"/>
    <w:rsid w:val="67900184"/>
    <w:rsid w:val="67E763C9"/>
    <w:rsid w:val="691F21D5"/>
    <w:rsid w:val="69AE723D"/>
    <w:rsid w:val="6A0B073A"/>
    <w:rsid w:val="6B783ACA"/>
    <w:rsid w:val="6BE321F3"/>
    <w:rsid w:val="6E5770AB"/>
    <w:rsid w:val="6F0E4920"/>
    <w:rsid w:val="6F6F593A"/>
    <w:rsid w:val="71615B93"/>
    <w:rsid w:val="732075C4"/>
    <w:rsid w:val="739A6307"/>
    <w:rsid w:val="73FF59A6"/>
    <w:rsid w:val="74203FD3"/>
    <w:rsid w:val="74A63821"/>
    <w:rsid w:val="761A0506"/>
    <w:rsid w:val="76E670B8"/>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9">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10">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11">
    <w:name w:val="toc 3"/>
    <w:basedOn w:val="1"/>
    <w:next w:val="1"/>
    <w:qFormat/>
    <w:uiPriority w:val="0"/>
    <w:pPr>
      <w:ind w:left="840" w:leftChars="400"/>
    </w:pPr>
  </w:style>
  <w:style w:type="paragraph" w:styleId="12">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Administrator</cp:lastModifiedBy>
  <dcterms:modified xsi:type="dcterms:W3CDTF">2025-06-05T06:33:47Z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DE1D60E232B24215917145DCCB04BBCE</vt:lpwstr>
  </property>
</Properties>
</file>