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铅围脖、铅围裙技术参数</w:t>
      </w:r>
    </w:p>
    <w:p>
      <w:pPr>
        <w:rPr>
          <w:rFonts w:hint="eastAsia" w:ascii="仿宋" w:hAnsi="仿宋" w:eastAsia="仿宋" w:cs="仿宋"/>
          <w:sz w:val="28"/>
          <w:szCs w:val="28"/>
        </w:rPr>
      </w:pPr>
      <w:r>
        <w:rPr>
          <w:rFonts w:hint="eastAsia" w:ascii="仿宋" w:hAnsi="仿宋" w:eastAsia="仿宋" w:cs="仿宋"/>
          <w:sz w:val="28"/>
          <w:szCs w:val="28"/>
        </w:rPr>
        <w:t>1.医用射线防护服采用多层超轻、超薄、超柔软轻铅改性树脂防护材料制成。</w:t>
      </w:r>
    </w:p>
    <w:p>
      <w:pPr>
        <w:rPr>
          <w:rFonts w:hint="eastAsia" w:ascii="仿宋" w:hAnsi="仿宋" w:eastAsia="仿宋" w:cs="仿宋"/>
          <w:sz w:val="28"/>
          <w:szCs w:val="28"/>
        </w:rPr>
      </w:pPr>
      <w:r>
        <w:rPr>
          <w:rFonts w:hint="eastAsia" w:ascii="仿宋" w:hAnsi="仿宋" w:eastAsia="仿宋" w:cs="仿宋"/>
          <w:sz w:val="28"/>
          <w:szCs w:val="28"/>
        </w:rPr>
        <w:t>▲2.医用射线防护服为使用者提供全面防护，正面铅当量</w:t>
      </w:r>
      <w:r>
        <w:rPr>
          <w:rFonts w:hint="eastAsia" w:ascii="仿宋" w:hAnsi="仿宋" w:eastAsia="仿宋" w:cs="仿宋"/>
          <w:sz w:val="28"/>
          <w:szCs w:val="28"/>
          <w:lang w:val="en-US" w:eastAsia="zh-CN"/>
        </w:rPr>
        <w:t>≥</w:t>
      </w:r>
      <w:r>
        <w:rPr>
          <w:rFonts w:hint="eastAsia" w:ascii="仿宋" w:hAnsi="仿宋" w:eastAsia="仿宋" w:cs="仿宋"/>
          <w:sz w:val="28"/>
          <w:szCs w:val="28"/>
        </w:rPr>
        <w:t>0.5mmPb，背面铅当量</w:t>
      </w:r>
      <w:r>
        <w:rPr>
          <w:rFonts w:hint="eastAsia" w:ascii="仿宋" w:hAnsi="仿宋" w:eastAsia="仿宋" w:cs="仿宋"/>
          <w:sz w:val="28"/>
          <w:szCs w:val="28"/>
          <w:lang w:val="en-US" w:eastAsia="zh-CN"/>
        </w:rPr>
        <w:t>≥</w:t>
      </w:r>
      <w:r>
        <w:rPr>
          <w:rFonts w:hint="eastAsia" w:ascii="仿宋" w:hAnsi="仿宋" w:eastAsia="仿宋" w:cs="仿宋"/>
          <w:sz w:val="28"/>
          <w:szCs w:val="28"/>
        </w:rPr>
        <w:t>0.25mmPb(依据检测标准 GBZ/T147-2002</w:t>
      </w:r>
      <w:r>
        <w:rPr>
          <w:rFonts w:hint="eastAsia" w:ascii="仿宋" w:hAnsi="仿宋" w:eastAsia="仿宋" w:cs="仿宋"/>
          <w:sz w:val="28"/>
          <w:szCs w:val="28"/>
          <w:lang w:val="en-US" w:eastAsia="zh-CN"/>
        </w:rPr>
        <w:t>X</w:t>
      </w:r>
      <w:r>
        <w:rPr>
          <w:rFonts w:hint="eastAsia" w:ascii="仿宋" w:hAnsi="仿宋" w:eastAsia="仿宋" w:cs="仿宋"/>
          <w:sz w:val="28"/>
          <w:szCs w:val="28"/>
        </w:rPr>
        <w:t>射线防护材料衰减性能的测定),须提供国家计量科学研究院等权威检测报告。</w:t>
      </w:r>
    </w:p>
    <w:p>
      <w:pPr>
        <w:rPr>
          <w:rFonts w:hint="eastAsia" w:ascii="仿宋" w:hAnsi="仿宋" w:eastAsia="仿宋" w:cs="仿宋"/>
          <w:sz w:val="28"/>
          <w:szCs w:val="28"/>
        </w:rPr>
      </w:pPr>
      <w:r>
        <w:rPr>
          <w:rFonts w:hint="eastAsia" w:ascii="仿宋" w:hAnsi="仿宋" w:eastAsia="仿宋" w:cs="仿宋"/>
          <w:sz w:val="28"/>
          <w:szCs w:val="28"/>
        </w:rPr>
        <w:t>3.超薄技术:单层轻铅改性树脂材料在满足铅当量</w:t>
      </w:r>
      <w:r>
        <w:rPr>
          <w:rFonts w:hint="eastAsia" w:ascii="仿宋" w:hAnsi="仿宋" w:eastAsia="仿宋" w:cs="仿宋"/>
          <w:sz w:val="28"/>
          <w:szCs w:val="28"/>
          <w:lang w:val="en-US" w:eastAsia="zh-CN"/>
        </w:rPr>
        <w:t>≥</w:t>
      </w:r>
      <w:r>
        <w:rPr>
          <w:rFonts w:hint="eastAsia" w:ascii="仿宋" w:hAnsi="仿宋" w:eastAsia="仿宋" w:cs="仿宋"/>
          <w:sz w:val="28"/>
          <w:szCs w:val="28"/>
        </w:rPr>
        <w:t>0.125mmPb前提下，厚度≤0.35mm。</w:t>
      </w:r>
    </w:p>
    <w:p>
      <w:pPr>
        <w:rPr>
          <w:rFonts w:hint="eastAsia" w:ascii="仿宋" w:hAnsi="仿宋" w:eastAsia="仿宋" w:cs="仿宋"/>
          <w:sz w:val="28"/>
          <w:szCs w:val="28"/>
        </w:rPr>
      </w:pPr>
      <w:r>
        <w:rPr>
          <w:rFonts w:hint="eastAsia" w:ascii="仿宋" w:hAnsi="仿宋" w:eastAsia="仿宋" w:cs="仿宋"/>
          <w:sz w:val="28"/>
          <w:szCs w:val="28"/>
        </w:rPr>
        <w:t>▲4.超柔软技术:邵氏硬度≤71HA(须提供有效的第三方检测机构出具的检测报告复印件)。</w:t>
      </w:r>
    </w:p>
    <w:p>
      <w:pPr>
        <w:rPr>
          <w:rFonts w:hint="eastAsia" w:ascii="仿宋" w:hAnsi="仿宋" w:eastAsia="仿宋" w:cs="仿宋"/>
          <w:sz w:val="28"/>
          <w:szCs w:val="28"/>
        </w:rPr>
      </w:pPr>
      <w:r>
        <w:rPr>
          <w:rFonts w:hint="eastAsia" w:ascii="仿宋" w:hAnsi="仿宋" w:eastAsia="仿宋" w:cs="仿宋"/>
          <w:sz w:val="28"/>
          <w:szCs w:val="28"/>
        </w:rPr>
        <w:t>▲5.臭氧老化试验(100pphm，40℃，拉伸率20%，168小时)无龟裂。(须提供有效的第三方检测机构出具的检测报告复印件)</w:t>
      </w:r>
    </w:p>
    <w:p>
      <w:pPr>
        <w:rPr>
          <w:rFonts w:hint="eastAsia" w:ascii="仿宋" w:hAnsi="仿宋" w:eastAsia="仿宋" w:cs="仿宋"/>
          <w:sz w:val="28"/>
          <w:szCs w:val="28"/>
        </w:rPr>
      </w:pPr>
      <w:r>
        <w:rPr>
          <w:rFonts w:hint="eastAsia" w:ascii="仿宋" w:hAnsi="仿宋" w:eastAsia="仿宋" w:cs="仿宋"/>
          <w:sz w:val="28"/>
          <w:szCs w:val="28"/>
        </w:rPr>
        <w:t>6.核心防护材料可循环利用，医用射线防护服报废后由生产厂家免费回收处理。</w:t>
      </w:r>
    </w:p>
    <w:p>
      <w:pPr>
        <w:rPr>
          <w:rFonts w:hint="eastAsia" w:ascii="仿宋" w:hAnsi="仿宋" w:eastAsia="仿宋" w:cs="仿宋"/>
          <w:sz w:val="28"/>
          <w:szCs w:val="28"/>
        </w:rPr>
      </w:pPr>
      <w:r>
        <w:rPr>
          <w:rFonts w:hint="eastAsia" w:ascii="仿宋" w:hAnsi="仿宋" w:eastAsia="仿宋" w:cs="仿宋"/>
          <w:sz w:val="28"/>
          <w:szCs w:val="28"/>
        </w:rPr>
        <w:t>7.面料:采用抗菌面料，正反面经过三防处理，具有抗腐蚀耐强酸强碱、抗血液、抗体液污染。</w:t>
      </w:r>
    </w:p>
    <w:p>
      <w:pPr>
        <w:rPr>
          <w:rFonts w:hint="eastAsia" w:ascii="仿宋" w:hAnsi="仿宋" w:eastAsia="仿宋" w:cs="仿宋"/>
          <w:sz w:val="28"/>
          <w:szCs w:val="28"/>
        </w:rPr>
      </w:pPr>
      <w:r>
        <w:rPr>
          <w:rFonts w:hint="eastAsia" w:ascii="仿宋" w:hAnsi="仿宋" w:eastAsia="仿宋" w:cs="仿宋"/>
          <w:sz w:val="28"/>
          <w:szCs w:val="28"/>
        </w:rPr>
        <w:t>8.辅料:柔软魔术贴拉扯使用周期长，可终身免费更换。</w:t>
      </w: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jc w:val="both"/>
        <w:rPr>
          <w:rFonts w:hint="eastAsia" w:ascii="仿宋" w:hAnsi="仿宋" w:eastAsia="仿宋" w:cs="仿宋"/>
          <w:kern w:val="2"/>
          <w:sz w:val="28"/>
          <w:szCs w:val="28"/>
          <w:lang w:val="en-US" w:eastAsia="zh-CN"/>
        </w:rPr>
      </w:pPr>
    </w:p>
    <w:p>
      <w:pPr>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5BE6"/>
    <w:rsid w:val="7FC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2025-06-24T06:40:00Z</dcterms:created>
  <dc:creator>Administrator</dc:creator>
  <cp:lastModifiedBy>Administrator</cp:lastModifiedBy>
  <dcterms:modified xsi:type="dcterms:W3CDTF">2025-06-24T06:44:23Z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62AF1170289646EF81E46218710B4D5A</vt:lpwstr>
  </property>
</Properties>
</file>