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30729"/>
      <w:bookmarkStart w:id="6" w:name="_Toc493600035"/>
      <w:bookmarkStart w:id="7" w:name="_Toc87445176"/>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交货期：合同签订或订单下达之日起7</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5960"/>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392D0E"/>
    <w:rsid w:val="37565737"/>
    <w:rsid w:val="38766AAA"/>
    <w:rsid w:val="38F00C52"/>
    <w:rsid w:val="3B30289A"/>
    <w:rsid w:val="3C2F0E1D"/>
    <w:rsid w:val="3C5533D9"/>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D0F0ABA"/>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2025-09-12T08:35:25Z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