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95"/>
      <w:bookmarkStart w:id="1" w:name="_Toc32426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价格最低的有效报价；B1，B2，…，Bn为第n个经初步审查合格的报价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21-30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11-20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姓名身份证号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及电话、质量监管及处罚等。方案合理、操作性强，且切实可行。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  <w:bookmarkStart w:id="10" w:name="_GoBack"/>
            <w:bookmarkEnd w:id="10"/>
          </w:p>
        </w:tc>
      </w:tr>
    </w:tbl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28"/>
      <w:bookmarkStart w:id="3" w:name="_Toc16081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28122"/>
      <w:bookmarkStart w:id="5" w:name="_Toc14948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25186"/>
      <w:bookmarkStart w:id="7" w:name="_Toc1631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14055"/>
      <w:bookmarkStart w:id="9" w:name="_Toc28117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9765230-CECA-45B0-9F06-DA1AD909249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47200B1-5591-43A4-87C6-7A075B292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Y4Y2YxYzU2NDgzYmI5Y2E2Y2E3MjU2YjU2ZDE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B2422"/>
    <w:rsid w:val="06226BEE"/>
    <w:rsid w:val="068F4112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622238F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2E552F2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2EB00F7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684C2B"/>
    <w:rsid w:val="709629D8"/>
    <w:rsid w:val="70AA7461"/>
    <w:rsid w:val="70F62E47"/>
    <w:rsid w:val="71D359E0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FD69F6"/>
    <w:rsid w:val="7B484AEB"/>
    <w:rsid w:val="7C4D1419"/>
    <w:rsid w:val="7D7C3020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5881</Words>
  <Characters>6202</Characters>
  <Lines>70</Lines>
  <Paragraphs>19</Paragraphs>
  <TotalTime>143</TotalTime>
  <ScaleCrop>false</ScaleCrop>
  <LinksUpToDate>false</LinksUpToDate>
  <CharactersWithSpaces>6359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Administrator</cp:lastModifiedBy>
  <cp:lastPrinted>2024-08-28T07:19:15Z</cp:lastPrinted>
  <dcterms:modified xsi:type="dcterms:W3CDTF">2024-08-28T08:24:36Z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1B69E3945E10427684646D490CABEF56</vt:lpwstr>
  </property>
</Properties>
</file>