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96EE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outlineLvl w:val="0"/>
        <w:rPr>
          <w:rFonts w:hint="eastAsia" w:ascii="仿宋" w:hAnsi="仿宋" w:eastAsia="仿宋" w:cs="仿宋"/>
          <w:b/>
          <w:bCs/>
          <w:snapToGrid w:val="0"/>
          <w:color w:val="000000"/>
          <w:spacing w:val="14"/>
          <w:kern w:val="0"/>
          <w:sz w:val="48"/>
          <w:szCs w:val="48"/>
          <w:u w:val="single"/>
          <w:lang w:val="en-US" w:eastAsia="en-US" w:bidi="ar-SA"/>
        </w:rPr>
      </w:pPr>
      <w:r>
        <w:rPr>
          <w:rFonts w:hint="eastAsia" w:ascii="仿宋" w:hAnsi="仿宋" w:eastAsia="仿宋" w:cs="仿宋"/>
          <w:b/>
          <w:bCs/>
          <w:snapToGrid w:val="0"/>
          <w:color w:val="000000"/>
          <w:spacing w:val="14"/>
          <w:kern w:val="0"/>
          <w:sz w:val="48"/>
          <w:szCs w:val="48"/>
          <w:u w:val="single"/>
          <w:lang w:val="en-US" w:eastAsia="zh-CN" w:bidi="ar-SA"/>
        </w:rPr>
        <w:t xml:space="preserve"> </w:t>
      </w:r>
      <w:r>
        <w:rPr>
          <w:rFonts w:hint="eastAsia" w:ascii="仿宋" w:hAnsi="仿宋" w:eastAsia="仿宋" w:cs="仿宋"/>
          <w:b/>
          <w:bCs/>
          <w:snapToGrid w:val="0"/>
          <w:color w:val="000000"/>
          <w:spacing w:val="14"/>
          <w:kern w:val="0"/>
          <w:sz w:val="48"/>
          <w:szCs w:val="48"/>
          <w:u w:val="single"/>
          <w:lang w:val="en-US" w:eastAsia="en-US" w:bidi="ar-SA"/>
        </w:rPr>
        <w:t xml:space="preserve">微量泵、输液泵、手动气囊压力表 </w:t>
      </w:r>
    </w:p>
    <w:p w14:paraId="504A82A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outlineLvl w:val="0"/>
        <w:rPr>
          <w:rFonts w:hint="eastAsia" w:ascii="仿宋" w:hAnsi="仿宋" w:eastAsia="仿宋" w:cs="仿宋"/>
          <w:snapToGrid w:val="0"/>
          <w:color w:val="000000"/>
          <w:spacing w:val="14"/>
          <w:kern w:val="0"/>
          <w:sz w:val="48"/>
          <w:szCs w:val="48"/>
          <w:lang w:val="en-US" w:eastAsia="en-US" w:bidi="ar-SA"/>
        </w:rPr>
      </w:pPr>
      <w:r>
        <w:rPr>
          <w:rFonts w:hint="eastAsia" w:ascii="仿宋" w:hAnsi="仿宋" w:eastAsia="仿宋" w:cs="仿宋"/>
          <w:b/>
          <w:bCs/>
          <w:snapToGrid w:val="0"/>
          <w:color w:val="000000"/>
          <w:spacing w:val="14"/>
          <w:kern w:val="0"/>
          <w:sz w:val="48"/>
          <w:szCs w:val="48"/>
          <w:lang w:val="en-US" w:eastAsia="en-US" w:bidi="ar-SA"/>
        </w:rPr>
        <w:t>技术参数</w:t>
      </w:r>
    </w:p>
    <w:p w14:paraId="63ABDE8A">
      <w:pPr>
        <w:pStyle w:val="2"/>
        <w:spacing w:before="157" w:line="223" w:lineRule="auto"/>
        <w:ind w:left="291"/>
        <w:rPr>
          <w:rFonts w:hint="eastAsia" w:ascii="仿宋_GB2312" w:hAnsi="仿宋_GB2312" w:eastAsia="仿宋_GB2312" w:cs="仿宋_GB2312"/>
          <w:b/>
          <w:bCs/>
          <w:snapToGrid w:val="0"/>
          <w:color w:val="000000"/>
          <w:spacing w:val="-9"/>
          <w:kern w:val="0"/>
          <w:sz w:val="26"/>
          <w:szCs w:val="26"/>
          <w:u w:val="none"/>
          <w:lang w:val="en-US" w:eastAsia="zh-CN" w:bidi="ar-SA"/>
        </w:rPr>
      </w:pPr>
      <w:r>
        <w:rPr>
          <w:rFonts w:hint="eastAsia" w:ascii="仿宋_GB2312" w:hAnsi="仿宋_GB2312" w:eastAsia="仿宋_GB2312" w:cs="仿宋_GB2312"/>
          <w:b/>
          <w:bCs/>
          <w:snapToGrid w:val="0"/>
          <w:color w:val="000000"/>
          <w:spacing w:val="-9"/>
          <w:kern w:val="0"/>
          <w:sz w:val="26"/>
          <w:szCs w:val="26"/>
          <w:u w:val="none"/>
          <w:lang w:val="en-US" w:eastAsia="zh-CN" w:bidi="ar-SA"/>
        </w:rPr>
        <w:t>一、微量泵</w:t>
      </w:r>
    </w:p>
    <w:p w14:paraId="38558548">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★1.适配规格：兼容10ml、20m1、30m1、50ml 临床标准一次性注射器。</w:t>
      </w:r>
    </w:p>
    <w:p w14:paraId="7C0E82BB">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★2.输注速度范围：0.1～1200ml/h,满足微量及常规输注需求。</w:t>
      </w:r>
    </w:p>
    <w:p w14:paraId="5A7575AE">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★3.输注精度：≤±3%,保证临床用药安全准确。</w:t>
      </w:r>
    </w:p>
    <w:p w14:paraId="2EF0C88B">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★4.具备声光双重多级报警，包含阻塞、气泡、注射器滑脱、近完成、完成、电量低、故障等全报警功能。</w:t>
      </w:r>
    </w:p>
    <w:p w14:paraId="3C403390">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★5.具备KVO保持静脉通畅功能，输注结束自动启动。</w:t>
      </w:r>
    </w:p>
    <w:p w14:paraId="5141D027">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★6.采用智能电机驱动，运行平稳，推力稳定，支持长时间连续工作。</w:t>
      </w:r>
    </w:p>
    <w:p w14:paraId="4FEF665B">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7.配备高清液晶显示屏，中文界面，实时显示速度、预置量、累计量、运行状态。</w:t>
      </w:r>
    </w:p>
    <w:p w14:paraId="58286B78">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8.操作方式简洁，支持按键快速设置，便于临床床旁操作。</w:t>
      </w:r>
    </w:p>
    <w:p w14:paraId="62328849">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9.支持速度模式、体重模式等多种临床输注模式切换。</w:t>
      </w:r>
    </w:p>
    <w:p w14:paraId="0A478ACC">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10.具备注射器自动识别功能，无需手动选择规格。</w:t>
      </w:r>
    </w:p>
    <w:p w14:paraId="4C67FC3B">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11.具备开门/开盖自动停机安全联锁保护功能。</w:t>
      </w:r>
    </w:p>
    <w:p w14:paraId="4FD9E0EF">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12.阻塞压力可多档位可调，适应不同临床输注场景。</w:t>
      </w:r>
    </w:p>
    <w:p w14:paraId="3AA8AC9F">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13.具备防回血、防逆流安全设计，降低临床风险。</w:t>
      </w:r>
    </w:p>
    <w:p w14:paraId="7AED54F1">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14.支持预置量到达自动停机，可设置提前提醒功能。</w:t>
      </w:r>
    </w:p>
    <w:p w14:paraId="4AB732F7">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15.设备具备抗电磁干扰能力，可与监护仪等设备同室稳定工作。</w:t>
      </w:r>
    </w:p>
    <w:p w14:paraId="49F479CC">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16.具备报警记录、运行记录存储与查询功能。</w:t>
      </w:r>
    </w:p>
    <w:p w14:paraId="2D2FE87F">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17.供电方式：AC220V外接供电+内置可充电锂电池双模式自动切换。</w:t>
      </w:r>
    </w:p>
    <w:p w14:paraId="21C7279F">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18.电池充满后续航时间≥4小时，满足患者转运及断电应急使用。</w:t>
      </w:r>
    </w:p>
    <w:p w14:paraId="33854D4A">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19.机身小巧稳固，支持床旁支架固定、台面放置，安装便捷。</w:t>
      </w:r>
    </w:p>
    <w:p w14:paraId="71CB64C1">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20.注射器固定牢固，装夹方便，不易松动、滑脱。</w:t>
      </w:r>
    </w:p>
    <w:p w14:paraId="7CE453C9">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21.标配：主机、电源线、可充电电池、固定支架、使用说明书。</w:t>
      </w:r>
    </w:p>
    <w:p w14:paraId="648BF345">
      <w:pPr>
        <w:keepNext w:val="0"/>
        <w:keepLines w:val="0"/>
        <w:pageBreakBefore w:val="0"/>
        <w:widowControl/>
        <w:kinsoku w:val="0"/>
        <w:wordWrap w:val="0"/>
        <w:overflowPunct/>
        <w:topLinePunct w:val="0"/>
        <w:autoSpaceDE w:val="0"/>
        <w:autoSpaceDN w:val="0"/>
        <w:bidi w:val="0"/>
        <w:adjustRightInd w:val="0"/>
        <w:snapToGrid w:val="0"/>
        <w:ind w:firstLine="560" w:firstLineChars="200"/>
        <w:jc w:val="both"/>
        <w:textAlignment w:val="baseline"/>
        <w:rPr>
          <w:rFonts w:hint="eastAsia" w:ascii="仿宋_GB2312" w:hAnsi="仿宋_GB2312" w:eastAsia="仿宋_GB2312" w:cs="仿宋_GB2312"/>
          <w:sz w:val="28"/>
          <w:szCs w:val="36"/>
        </w:rPr>
      </w:pPr>
    </w:p>
    <w:p w14:paraId="20D1197C">
      <w:pPr>
        <w:pStyle w:val="2"/>
        <w:keepNext w:val="0"/>
        <w:keepLines w:val="0"/>
        <w:pageBreakBefore w:val="0"/>
        <w:widowControl/>
        <w:kinsoku w:val="0"/>
        <w:overflowPunct/>
        <w:topLinePunct w:val="0"/>
        <w:autoSpaceDE w:val="0"/>
        <w:autoSpaceDN w:val="0"/>
        <w:bidi w:val="0"/>
        <w:adjustRightInd w:val="0"/>
        <w:snapToGrid w:val="0"/>
        <w:spacing w:before="157" w:line="223" w:lineRule="auto"/>
        <w:ind w:left="291" w:firstLine="486" w:firstLineChars="200"/>
        <w:textAlignment w:val="baseline"/>
        <w:rPr>
          <w:rFonts w:hint="default" w:ascii="仿宋_GB2312" w:hAnsi="仿宋_GB2312" w:eastAsia="仿宋_GB2312" w:cs="仿宋_GB2312"/>
          <w:b/>
          <w:bCs/>
          <w:snapToGrid w:val="0"/>
          <w:color w:val="000000"/>
          <w:spacing w:val="-9"/>
          <w:kern w:val="0"/>
          <w:sz w:val="26"/>
          <w:szCs w:val="26"/>
          <w:u w:val="none"/>
          <w:lang w:val="en-US" w:eastAsia="zh-CN" w:bidi="ar-SA"/>
        </w:rPr>
      </w:pPr>
      <w:r>
        <w:rPr>
          <w:rFonts w:hint="eastAsia" w:ascii="仿宋_GB2312" w:hAnsi="仿宋_GB2312" w:eastAsia="仿宋_GB2312" w:cs="仿宋_GB2312"/>
          <w:b/>
          <w:bCs/>
          <w:snapToGrid w:val="0"/>
          <w:color w:val="000000"/>
          <w:spacing w:val="-9"/>
          <w:kern w:val="0"/>
          <w:sz w:val="26"/>
          <w:szCs w:val="26"/>
          <w:u w:val="none"/>
          <w:lang w:val="en-US" w:eastAsia="zh-CN" w:bidi="ar-SA"/>
        </w:rPr>
        <w:t>二、输液泵</w:t>
      </w:r>
    </w:p>
    <w:p w14:paraId="636AA930">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★1.输液速度范围：0.1～1200ml/h,满足临床常规及快速输液需求。</w:t>
      </w:r>
    </w:p>
    <w:p w14:paraId="050BD78D">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★2.流速精度：≤±5%,保证临床输液安全准确。</w:t>
      </w:r>
    </w:p>
    <w:p w14:paraId="43FB5D82">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★3.具备声光双重报警系统，包含阻塞、开门、气泡、输液结束、电量低、故障等完整报警。</w:t>
      </w:r>
    </w:p>
    <w:p w14:paraId="38294A59">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lang w:val="en-US" w:eastAsia="zh-CN"/>
        </w:rPr>
      </w:pPr>
      <w:r>
        <w:rPr>
          <w:rFonts w:hint="eastAsia" w:ascii="仿宋_GB2312" w:hAnsi="仿宋_GB2312" w:eastAsia="仿宋_GB2312" w:cs="仿宋_GB2312"/>
          <w:spacing w:val="-9"/>
        </w:rPr>
        <w:t>★4.具备防回血、防气泡、阻塞高压自动减压安全保护功能。</w:t>
      </w:r>
    </w:p>
    <w:p w14:paraId="1F6F42A0">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★5.支持累计输液量、预置输液量实时显示与控制。</w:t>
      </w:r>
    </w:p>
    <w:p w14:paraId="5D21BF4C">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★6.采用蠕动式挤压输液结构，兼容临床标准普通输液器。</w:t>
      </w:r>
    </w:p>
    <w:p w14:paraId="7568664E">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7.配备彩色液晶显示屏，显示清晰、直观易读。</w:t>
      </w:r>
    </w:p>
    <w:p w14:paraId="23E28D34">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8.支持中文操作界面，按键布局合理，便于床旁快速设置。</w:t>
      </w:r>
    </w:p>
    <w:p w14:paraId="02602A2D">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9.支持速度模式、剂量模式等多种临床输注模式。</w:t>
      </w:r>
    </w:p>
    <w:p w14:paraId="2512BC48">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10.具备输液历史记录、报警记录存储与查询功能。</w:t>
      </w:r>
    </w:p>
    <w:p w14:paraId="14ED8DD4">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11.具备门开自动停止输注安全联锁功能。</w:t>
      </w:r>
    </w:p>
    <w:p w14:paraId="64E6DE0D">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12.支持全程气泡监测，可检测微小气泡并立即报警停机。</w:t>
      </w:r>
    </w:p>
    <w:p w14:paraId="48388FA9">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13.阻塞压力可多档位可调，适应不同输液场景。</w:t>
      </w:r>
    </w:p>
    <w:p w14:paraId="25B703CE">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14.支持“KVO ( 保持静脉开放)”功能，输液结束自动启动。</w:t>
      </w:r>
    </w:p>
    <w:p w14:paraId="43B20A11">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15.设备具备抗干扰能力，可在监护环境下稳定工作。</w:t>
      </w:r>
    </w:p>
    <w:p w14:paraId="0610E468">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sz w:val="26"/>
          <w:szCs w:val="26"/>
        </w:rPr>
      </w:pPr>
      <w:r>
        <w:rPr>
          <w:rFonts w:hint="eastAsia" w:ascii="仿宋_GB2312" w:hAnsi="仿宋_GB2312" w:eastAsia="仿宋_GB2312" w:cs="仿宋_GB2312"/>
          <w:spacing w:val="-9"/>
        </w:rPr>
        <w:t>16.支持输液结束自动提醒，提示护士及时处理。</w:t>
      </w:r>
    </w:p>
    <w:p w14:paraId="50528F49">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17.采用交流220V 供电+内置可充电锂电池双供电模式。</w:t>
      </w:r>
    </w:p>
    <w:p w14:paraId="67A144DC">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18.电池充满后续航时间≥4小时，满足转运与断电使用。</w:t>
      </w:r>
    </w:p>
    <w:p w14:paraId="175DDE4C">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19.机身小巧稳固，可床旁悬挂、台面放置，安装使捷。</w:t>
      </w:r>
    </w:p>
    <w:p w14:paraId="6AD1EA1C">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20.接口牢固耐用，管路安装简单，不易脱落。</w:t>
      </w:r>
    </w:p>
    <w:p w14:paraId="58A16871">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rPr>
      </w:pPr>
      <w:r>
        <w:rPr>
          <w:rFonts w:hint="eastAsia" w:ascii="仿宋_GB2312" w:hAnsi="仿宋_GB2312" w:eastAsia="仿宋_GB2312" w:cs="仿宋_GB2312"/>
          <w:spacing w:val="-9"/>
        </w:rPr>
        <w:t>21.标配：主机、电源线、电池、固定架、使用说明书。</w:t>
      </w:r>
    </w:p>
    <w:p w14:paraId="48C88335">
      <w:pPr>
        <w:keepNext w:val="0"/>
        <w:keepLines w:val="0"/>
        <w:pageBreakBefore w:val="0"/>
        <w:widowControl/>
        <w:kinsoku w:val="0"/>
        <w:wordWrap w:val="0"/>
        <w:overflowPunct/>
        <w:topLinePunct w:val="0"/>
        <w:autoSpaceDE w:val="0"/>
        <w:autoSpaceDN w:val="0"/>
        <w:bidi w:val="0"/>
        <w:adjustRightInd w:val="0"/>
        <w:snapToGrid w:val="0"/>
        <w:ind w:firstLine="560" w:firstLineChars="200"/>
        <w:jc w:val="both"/>
        <w:textAlignment w:val="baseline"/>
        <w:rPr>
          <w:rFonts w:hint="eastAsia" w:ascii="仿宋_GB2312" w:hAnsi="仿宋_GB2312" w:eastAsia="仿宋_GB2312" w:cs="仿宋_GB2312"/>
          <w:sz w:val="28"/>
          <w:szCs w:val="36"/>
        </w:rPr>
      </w:pPr>
    </w:p>
    <w:p w14:paraId="09677CE0">
      <w:pPr>
        <w:pStyle w:val="2"/>
        <w:keepNext w:val="0"/>
        <w:keepLines w:val="0"/>
        <w:pageBreakBefore w:val="0"/>
        <w:widowControl/>
        <w:kinsoku w:val="0"/>
        <w:overflowPunct/>
        <w:topLinePunct w:val="0"/>
        <w:autoSpaceDE w:val="0"/>
        <w:autoSpaceDN w:val="0"/>
        <w:bidi w:val="0"/>
        <w:adjustRightInd w:val="0"/>
        <w:snapToGrid w:val="0"/>
        <w:spacing w:before="157" w:line="223" w:lineRule="auto"/>
        <w:ind w:left="291" w:firstLine="486" w:firstLineChars="200"/>
        <w:textAlignment w:val="baseline"/>
        <w:rPr>
          <w:rFonts w:hint="eastAsia" w:ascii="仿宋_GB2312" w:hAnsi="仿宋_GB2312" w:eastAsia="仿宋_GB2312" w:cs="仿宋_GB2312"/>
          <w:b/>
          <w:bCs/>
          <w:snapToGrid w:val="0"/>
          <w:color w:val="000000"/>
          <w:spacing w:val="-9"/>
          <w:kern w:val="0"/>
          <w:sz w:val="26"/>
          <w:szCs w:val="26"/>
          <w:u w:val="none"/>
          <w:lang w:val="en-US" w:eastAsia="zh-CN" w:bidi="ar-SA"/>
        </w:rPr>
      </w:pPr>
      <w:r>
        <w:rPr>
          <w:rFonts w:hint="eastAsia" w:ascii="仿宋_GB2312" w:hAnsi="仿宋_GB2312" w:eastAsia="仿宋_GB2312" w:cs="仿宋_GB2312"/>
          <w:b/>
          <w:bCs/>
          <w:snapToGrid w:val="0"/>
          <w:color w:val="000000"/>
          <w:spacing w:val="-9"/>
          <w:kern w:val="0"/>
          <w:sz w:val="26"/>
          <w:szCs w:val="26"/>
          <w:u w:val="none"/>
          <w:lang w:val="en-US" w:eastAsia="zh-CN" w:bidi="ar-SA"/>
        </w:rPr>
        <w:t>三、手动气囊压力表</w:t>
      </w:r>
    </w:p>
    <w:p w14:paraId="62F96DEE">
      <w:pPr>
        <w:keepNext w:val="0"/>
        <w:keepLines w:val="0"/>
        <w:pageBreakBefore w:val="0"/>
        <w:widowControl/>
        <w:kinsoku w:val="0"/>
        <w:wordWrap w:val="0"/>
        <w:overflowPunct/>
        <w:topLinePunct w:val="0"/>
        <w:autoSpaceDE w:val="0"/>
        <w:autoSpaceDN w:val="0"/>
        <w:bidi w:val="0"/>
        <w:adjustRightInd w:val="0"/>
        <w:snapToGrid w:val="0"/>
        <w:ind w:firstLine="484" w:firstLineChars="200"/>
        <w:jc w:val="both"/>
        <w:textAlignment w:val="baseline"/>
        <w:rPr>
          <w:rFonts w:hint="eastAsia" w:ascii="仿宋_GB2312" w:hAnsi="仿宋_GB2312" w:eastAsia="仿宋_GB2312" w:cs="仿宋_GB2312"/>
          <w:snapToGrid w:val="0"/>
          <w:color w:val="000000"/>
          <w:spacing w:val="-9"/>
          <w:kern w:val="0"/>
          <w:sz w:val="26"/>
          <w:szCs w:val="26"/>
          <w:lang w:val="en-US" w:eastAsia="en-US" w:bidi="ar-SA"/>
        </w:rPr>
      </w:pPr>
      <w:r>
        <w:rPr>
          <w:rFonts w:hint="eastAsia" w:ascii="仿宋_GB2312" w:hAnsi="仿宋_GB2312" w:eastAsia="仿宋_GB2312" w:cs="仿宋_GB2312"/>
          <w:snapToGrid w:val="0"/>
          <w:color w:val="000000"/>
          <w:spacing w:val="-9"/>
          <w:kern w:val="0"/>
          <w:sz w:val="26"/>
          <w:szCs w:val="26"/>
          <w:lang w:val="en-US" w:eastAsia="en-US" w:bidi="ar-SA"/>
        </w:rPr>
        <w:t xml:space="preserve">★1.压力测量范围：0～100 </w:t>
      </w:r>
      <w:r>
        <w:rPr>
          <w:rFonts w:hint="eastAsia" w:ascii="Times New Roman" w:hAnsi="Times New Roman" w:eastAsia="Times New Roman" w:cs="Times New Roman"/>
          <w:snapToGrid w:val="0"/>
          <w:color w:val="000000"/>
          <w:kern w:val="0"/>
          <w:sz w:val="26"/>
          <w:szCs w:val="26"/>
          <w:lang w:val="en-US" w:eastAsia="en-US" w:bidi="ar-SA"/>
        </w:rPr>
        <w:t>cmH₂0</w:t>
      </w:r>
      <w:r>
        <w:rPr>
          <w:rFonts w:hint="eastAsia" w:ascii="仿宋_GB2312" w:hAnsi="仿宋_GB2312" w:eastAsia="仿宋_GB2312" w:cs="仿宋_GB2312"/>
          <w:snapToGrid w:val="0"/>
          <w:color w:val="000000"/>
          <w:spacing w:val="-9"/>
          <w:kern w:val="0"/>
          <w:sz w:val="26"/>
          <w:szCs w:val="26"/>
          <w:lang w:val="en-US" w:eastAsia="en-US" w:bidi="ar-SA"/>
        </w:rPr>
        <w:t>,满足临床气囊压力常规监测范围。</w:t>
      </w:r>
    </w:p>
    <w:p w14:paraId="279ED548">
      <w:pPr>
        <w:keepNext w:val="0"/>
        <w:keepLines w:val="0"/>
        <w:pageBreakBefore w:val="0"/>
        <w:widowControl/>
        <w:kinsoku w:val="0"/>
        <w:wordWrap w:val="0"/>
        <w:overflowPunct/>
        <w:topLinePunct w:val="0"/>
        <w:autoSpaceDE w:val="0"/>
        <w:autoSpaceDN w:val="0"/>
        <w:bidi w:val="0"/>
        <w:adjustRightInd w:val="0"/>
        <w:snapToGrid w:val="0"/>
        <w:ind w:firstLine="484" w:firstLineChars="200"/>
        <w:jc w:val="both"/>
        <w:textAlignment w:val="baseline"/>
        <w:rPr>
          <w:rFonts w:hint="eastAsia" w:ascii="仿宋_GB2312" w:hAnsi="仿宋_GB2312" w:eastAsia="仿宋_GB2312" w:cs="仿宋_GB2312"/>
          <w:snapToGrid w:val="0"/>
          <w:color w:val="000000"/>
          <w:spacing w:val="-9"/>
          <w:kern w:val="0"/>
          <w:sz w:val="26"/>
          <w:szCs w:val="26"/>
          <w:lang w:val="en-US" w:eastAsia="en-US" w:bidi="ar-SA"/>
        </w:rPr>
      </w:pPr>
      <w:r>
        <w:rPr>
          <w:rFonts w:hint="eastAsia" w:ascii="仿宋_GB2312" w:hAnsi="仿宋_GB2312" w:eastAsia="仿宋_GB2312" w:cs="仿宋_GB2312"/>
          <w:snapToGrid w:val="0"/>
          <w:color w:val="000000"/>
          <w:spacing w:val="-9"/>
          <w:kern w:val="0"/>
          <w:sz w:val="26"/>
          <w:szCs w:val="26"/>
          <w:lang w:val="en-US" w:eastAsia="en-US" w:bidi="ar-SA"/>
        </w:rPr>
        <w:t xml:space="preserve">★2.测量准确度：≤±2 </w:t>
      </w:r>
      <w:r>
        <w:rPr>
          <w:rFonts w:hint="eastAsia" w:ascii="Times New Roman" w:hAnsi="Times New Roman" w:eastAsia="Times New Roman" w:cs="Times New Roman"/>
          <w:snapToGrid w:val="0"/>
          <w:color w:val="000000"/>
          <w:kern w:val="0"/>
          <w:sz w:val="26"/>
          <w:szCs w:val="26"/>
          <w:lang w:val="en-US" w:eastAsia="en-US" w:bidi="ar-SA"/>
        </w:rPr>
        <w:t>cmH₂0</w:t>
      </w:r>
      <w:r>
        <w:rPr>
          <w:rFonts w:hint="eastAsia" w:ascii="仿宋_GB2312" w:hAnsi="仿宋_GB2312" w:eastAsia="仿宋_GB2312" w:cs="仿宋_GB2312"/>
          <w:snapToGrid w:val="0"/>
          <w:color w:val="000000"/>
          <w:spacing w:val="-9"/>
          <w:kern w:val="0"/>
          <w:sz w:val="26"/>
          <w:szCs w:val="26"/>
          <w:lang w:val="en-US" w:eastAsia="en-US" w:bidi="ar-SA"/>
        </w:rPr>
        <w:t>, 保证临床监测精度。</w:t>
      </w:r>
    </w:p>
    <w:p w14:paraId="6F2455B6">
      <w:pPr>
        <w:keepNext w:val="0"/>
        <w:keepLines w:val="0"/>
        <w:pageBreakBefore w:val="0"/>
        <w:widowControl/>
        <w:kinsoku w:val="0"/>
        <w:wordWrap w:val="0"/>
        <w:overflowPunct/>
        <w:topLinePunct w:val="0"/>
        <w:autoSpaceDE w:val="0"/>
        <w:autoSpaceDN w:val="0"/>
        <w:bidi w:val="0"/>
        <w:adjustRightInd w:val="0"/>
        <w:snapToGrid w:val="0"/>
        <w:ind w:firstLine="484" w:firstLineChars="200"/>
        <w:jc w:val="both"/>
        <w:textAlignment w:val="baseline"/>
        <w:rPr>
          <w:rFonts w:hint="eastAsia" w:ascii="仿宋_GB2312" w:hAnsi="仿宋_GB2312" w:eastAsia="仿宋_GB2312" w:cs="仿宋_GB2312"/>
          <w:snapToGrid w:val="0"/>
          <w:color w:val="000000"/>
          <w:spacing w:val="-9"/>
          <w:kern w:val="0"/>
          <w:sz w:val="26"/>
          <w:szCs w:val="26"/>
          <w:lang w:val="en-US" w:eastAsia="en-US" w:bidi="ar-SA"/>
        </w:rPr>
      </w:pPr>
      <w:r>
        <w:rPr>
          <w:rFonts w:hint="eastAsia" w:ascii="仿宋_GB2312" w:hAnsi="仿宋_GB2312" w:eastAsia="仿宋_GB2312" w:cs="仿宋_GB2312"/>
          <w:snapToGrid w:val="0"/>
          <w:color w:val="000000"/>
          <w:spacing w:val="-9"/>
          <w:kern w:val="0"/>
          <w:sz w:val="26"/>
          <w:szCs w:val="26"/>
          <w:lang w:val="en-US" w:eastAsia="en-US" w:bidi="ar-SA"/>
        </w:rPr>
        <w:t xml:space="preserve">★3.压力显示分度值：≤1 </w:t>
      </w:r>
      <w:r>
        <w:rPr>
          <w:rFonts w:hint="eastAsia" w:ascii="Times New Roman" w:hAnsi="Times New Roman" w:eastAsia="Times New Roman" w:cs="Times New Roman"/>
          <w:snapToGrid w:val="0"/>
          <w:color w:val="000000"/>
          <w:kern w:val="0"/>
          <w:sz w:val="26"/>
          <w:szCs w:val="26"/>
          <w:lang w:val="en-US" w:eastAsia="en-US" w:bidi="ar-SA"/>
        </w:rPr>
        <w:t>cmH₂0</w:t>
      </w:r>
      <w:r>
        <w:rPr>
          <w:rFonts w:hint="eastAsia" w:ascii="仿宋_GB2312" w:hAnsi="仿宋_GB2312" w:eastAsia="仿宋_GB2312" w:cs="仿宋_GB2312"/>
          <w:snapToGrid w:val="0"/>
          <w:color w:val="000000"/>
          <w:spacing w:val="-9"/>
          <w:kern w:val="0"/>
          <w:sz w:val="26"/>
          <w:szCs w:val="26"/>
          <w:lang w:val="en-US" w:eastAsia="en-US" w:bidi="ar-SA"/>
        </w:rPr>
        <w:t>, 刻度/数值清晰易读。</w:t>
      </w:r>
    </w:p>
    <w:p w14:paraId="37006001">
      <w:pPr>
        <w:keepNext w:val="0"/>
        <w:keepLines w:val="0"/>
        <w:pageBreakBefore w:val="0"/>
        <w:widowControl/>
        <w:kinsoku w:val="0"/>
        <w:wordWrap w:val="0"/>
        <w:overflowPunct/>
        <w:topLinePunct w:val="0"/>
        <w:autoSpaceDE w:val="0"/>
        <w:autoSpaceDN w:val="0"/>
        <w:bidi w:val="0"/>
        <w:adjustRightInd w:val="0"/>
        <w:snapToGrid w:val="0"/>
        <w:ind w:firstLine="484" w:firstLineChars="200"/>
        <w:jc w:val="both"/>
        <w:textAlignment w:val="baseline"/>
        <w:rPr>
          <w:rFonts w:hint="eastAsia" w:ascii="仿宋_GB2312" w:hAnsi="仿宋_GB2312" w:eastAsia="仿宋_GB2312" w:cs="仿宋_GB2312"/>
          <w:snapToGrid w:val="0"/>
          <w:color w:val="000000"/>
          <w:spacing w:val="-9"/>
          <w:kern w:val="0"/>
          <w:sz w:val="26"/>
          <w:szCs w:val="26"/>
          <w:lang w:val="en-US" w:eastAsia="en-US" w:bidi="ar-SA"/>
        </w:rPr>
      </w:pPr>
      <w:r>
        <w:rPr>
          <w:rFonts w:hint="eastAsia" w:ascii="仿宋_GB2312" w:hAnsi="仿宋_GB2312" w:eastAsia="仿宋_GB2312" w:cs="仿宋_GB2312"/>
          <w:snapToGrid w:val="0"/>
          <w:color w:val="000000"/>
          <w:spacing w:val="-9"/>
          <w:kern w:val="0"/>
          <w:sz w:val="26"/>
          <w:szCs w:val="26"/>
          <w:lang w:val="en-US" w:eastAsia="en-US" w:bidi="ar-SA"/>
        </w:rPr>
        <w:t>★4.具备保压功能，充气后可稳定维持压力，无明显自然泄压。</w:t>
      </w:r>
    </w:p>
    <w:p w14:paraId="757D86D6">
      <w:pPr>
        <w:keepNext w:val="0"/>
        <w:keepLines w:val="0"/>
        <w:pageBreakBefore w:val="0"/>
        <w:widowControl/>
        <w:kinsoku w:val="0"/>
        <w:wordWrap w:val="0"/>
        <w:overflowPunct/>
        <w:topLinePunct w:val="0"/>
        <w:autoSpaceDE w:val="0"/>
        <w:autoSpaceDN w:val="0"/>
        <w:bidi w:val="0"/>
        <w:adjustRightInd w:val="0"/>
        <w:snapToGrid w:val="0"/>
        <w:ind w:firstLine="484" w:firstLineChars="200"/>
        <w:jc w:val="both"/>
        <w:textAlignment w:val="baseline"/>
        <w:rPr>
          <w:rFonts w:hint="eastAsia" w:ascii="仿宋_GB2312" w:hAnsi="仿宋_GB2312" w:eastAsia="仿宋_GB2312" w:cs="仿宋_GB2312"/>
          <w:snapToGrid w:val="0"/>
          <w:color w:val="000000"/>
          <w:spacing w:val="-9"/>
          <w:kern w:val="0"/>
          <w:sz w:val="26"/>
          <w:szCs w:val="26"/>
          <w:lang w:val="en-US" w:eastAsia="en-US" w:bidi="ar-SA"/>
        </w:rPr>
      </w:pPr>
      <w:r>
        <w:rPr>
          <w:rFonts w:hint="eastAsia" w:ascii="仿宋_GB2312" w:hAnsi="仿宋_GB2312" w:eastAsia="仿宋_GB2312" w:cs="仿宋_GB2312"/>
          <w:snapToGrid w:val="0"/>
          <w:color w:val="000000"/>
          <w:spacing w:val="-9"/>
          <w:kern w:val="0"/>
          <w:sz w:val="26"/>
          <w:szCs w:val="26"/>
          <w:lang w:val="en-US" w:eastAsia="en-US" w:bidi="ar-SA"/>
        </w:rPr>
        <w:t>5.显示方式：采用指针表盘或数字显示，表盘防雾、抗干扰，适合临床多环境使用。</w:t>
      </w:r>
    </w:p>
    <w:p w14:paraId="61F76BD5">
      <w:pPr>
        <w:keepNext w:val="0"/>
        <w:keepLines w:val="0"/>
        <w:pageBreakBefore w:val="0"/>
        <w:widowControl/>
        <w:kinsoku w:val="0"/>
        <w:wordWrap w:val="0"/>
        <w:overflowPunct/>
        <w:topLinePunct w:val="0"/>
        <w:autoSpaceDE w:val="0"/>
        <w:autoSpaceDN w:val="0"/>
        <w:bidi w:val="0"/>
        <w:adjustRightInd w:val="0"/>
        <w:snapToGrid w:val="0"/>
        <w:ind w:firstLine="484" w:firstLineChars="200"/>
        <w:jc w:val="both"/>
        <w:textAlignment w:val="baseline"/>
        <w:rPr>
          <w:rFonts w:hint="eastAsia" w:ascii="仿宋_GB2312" w:hAnsi="仿宋_GB2312" w:eastAsia="仿宋_GB2312" w:cs="仿宋_GB2312"/>
          <w:snapToGrid w:val="0"/>
          <w:color w:val="000000"/>
          <w:spacing w:val="-9"/>
          <w:kern w:val="0"/>
          <w:sz w:val="26"/>
          <w:szCs w:val="26"/>
          <w:lang w:val="en-US" w:eastAsia="en-US" w:bidi="ar-SA"/>
        </w:rPr>
      </w:pPr>
      <w:r>
        <w:rPr>
          <w:rFonts w:hint="eastAsia" w:ascii="仿宋_GB2312" w:hAnsi="仿宋_GB2312" w:eastAsia="仿宋_GB2312" w:cs="仿宋_GB2312"/>
          <w:snapToGrid w:val="0"/>
          <w:color w:val="000000"/>
          <w:spacing w:val="-9"/>
          <w:kern w:val="0"/>
          <w:sz w:val="26"/>
          <w:szCs w:val="26"/>
          <w:lang w:val="en-US" w:eastAsia="en-US" w:bidi="ar-SA"/>
        </w:rPr>
        <w:t>6.配备手动充气球囊/手动充气装置，充气、放气操作可控、顺畅。</w:t>
      </w:r>
    </w:p>
    <w:p w14:paraId="58FFF9A4">
      <w:pPr>
        <w:keepNext w:val="0"/>
        <w:keepLines w:val="0"/>
        <w:pageBreakBefore w:val="0"/>
        <w:widowControl/>
        <w:kinsoku w:val="0"/>
        <w:wordWrap w:val="0"/>
        <w:overflowPunct/>
        <w:topLinePunct w:val="0"/>
        <w:autoSpaceDE w:val="0"/>
        <w:autoSpaceDN w:val="0"/>
        <w:bidi w:val="0"/>
        <w:adjustRightInd w:val="0"/>
        <w:snapToGrid w:val="0"/>
        <w:ind w:firstLine="484" w:firstLineChars="200"/>
        <w:jc w:val="both"/>
        <w:textAlignment w:val="baseline"/>
        <w:rPr>
          <w:rFonts w:hint="eastAsia" w:ascii="仿宋_GB2312" w:hAnsi="仿宋_GB2312" w:eastAsia="仿宋_GB2312" w:cs="仿宋_GB2312"/>
          <w:snapToGrid w:val="0"/>
          <w:color w:val="000000"/>
          <w:spacing w:val="-9"/>
          <w:kern w:val="0"/>
          <w:sz w:val="26"/>
          <w:szCs w:val="26"/>
          <w:lang w:val="en-US" w:eastAsia="en-US" w:bidi="ar-SA"/>
        </w:rPr>
      </w:pPr>
      <w:r>
        <w:rPr>
          <w:rFonts w:hint="eastAsia" w:ascii="仿宋_GB2312" w:hAnsi="仿宋_GB2312" w:eastAsia="仿宋_GB2312" w:cs="仿宋_GB2312"/>
          <w:snapToGrid w:val="0"/>
          <w:color w:val="000000"/>
          <w:spacing w:val="-9"/>
          <w:kern w:val="0"/>
          <w:sz w:val="26"/>
          <w:szCs w:val="26"/>
          <w:lang w:val="en-US" w:eastAsia="en-US" w:bidi="ar-SA"/>
        </w:rPr>
        <w:t>7.配备可控放气阀，可缓慢、精准调节气囊压力。</w:t>
      </w:r>
    </w:p>
    <w:p w14:paraId="53A3C1D5">
      <w:pPr>
        <w:keepNext w:val="0"/>
        <w:keepLines w:val="0"/>
        <w:pageBreakBefore w:val="0"/>
        <w:widowControl/>
        <w:kinsoku w:val="0"/>
        <w:wordWrap w:val="0"/>
        <w:overflowPunct/>
        <w:topLinePunct w:val="0"/>
        <w:autoSpaceDE w:val="0"/>
        <w:autoSpaceDN w:val="0"/>
        <w:bidi w:val="0"/>
        <w:adjustRightInd w:val="0"/>
        <w:snapToGrid w:val="0"/>
        <w:ind w:firstLine="484" w:firstLineChars="200"/>
        <w:jc w:val="both"/>
        <w:textAlignment w:val="baseline"/>
        <w:rPr>
          <w:rFonts w:hint="eastAsia" w:ascii="仿宋_GB2312" w:hAnsi="仿宋_GB2312" w:eastAsia="仿宋_GB2312" w:cs="仿宋_GB2312"/>
          <w:snapToGrid w:val="0"/>
          <w:color w:val="000000"/>
          <w:spacing w:val="-9"/>
          <w:kern w:val="0"/>
          <w:sz w:val="26"/>
          <w:szCs w:val="26"/>
          <w:lang w:val="en-US" w:eastAsia="en-US" w:bidi="ar-SA"/>
        </w:rPr>
      </w:pPr>
      <w:r>
        <w:rPr>
          <w:rFonts w:hint="eastAsia" w:ascii="仿宋_GB2312" w:hAnsi="仿宋_GB2312" w:eastAsia="仿宋_GB2312" w:cs="仿宋_GB2312"/>
          <w:snapToGrid w:val="0"/>
          <w:color w:val="000000"/>
          <w:spacing w:val="-9"/>
          <w:kern w:val="0"/>
          <w:sz w:val="26"/>
          <w:szCs w:val="26"/>
          <w:lang w:val="en-US" w:eastAsia="en-US" w:bidi="ar-SA"/>
        </w:rPr>
        <w:t>8.配备标准通用气路接口，可与临床常用人工气道气囊管路可靠连接，连接后不漏气。</w:t>
      </w:r>
    </w:p>
    <w:p w14:paraId="033C3FB0">
      <w:pPr>
        <w:keepNext w:val="0"/>
        <w:keepLines w:val="0"/>
        <w:pageBreakBefore w:val="0"/>
        <w:widowControl/>
        <w:kinsoku w:val="0"/>
        <w:wordWrap w:val="0"/>
        <w:overflowPunct/>
        <w:topLinePunct w:val="0"/>
        <w:autoSpaceDE w:val="0"/>
        <w:autoSpaceDN w:val="0"/>
        <w:bidi w:val="0"/>
        <w:adjustRightInd w:val="0"/>
        <w:snapToGrid w:val="0"/>
        <w:ind w:firstLine="484" w:firstLineChars="200"/>
        <w:jc w:val="both"/>
        <w:textAlignment w:val="baseline"/>
        <w:rPr>
          <w:rFonts w:hint="eastAsia" w:ascii="仿宋_GB2312" w:hAnsi="仿宋_GB2312" w:eastAsia="仿宋_GB2312" w:cs="仿宋_GB2312"/>
          <w:snapToGrid w:val="0"/>
          <w:color w:val="000000"/>
          <w:spacing w:val="-9"/>
          <w:kern w:val="0"/>
          <w:sz w:val="26"/>
          <w:szCs w:val="26"/>
          <w:lang w:val="en-US" w:eastAsia="en-US" w:bidi="ar-SA"/>
        </w:rPr>
      </w:pPr>
      <w:r>
        <w:rPr>
          <w:rFonts w:hint="eastAsia" w:ascii="仿宋_GB2312" w:hAnsi="仿宋_GB2312" w:eastAsia="仿宋_GB2312" w:cs="仿宋_GB2312"/>
          <w:snapToGrid w:val="0"/>
          <w:color w:val="000000"/>
          <w:spacing w:val="-9"/>
          <w:kern w:val="0"/>
          <w:sz w:val="26"/>
          <w:szCs w:val="26"/>
          <w:lang w:val="en-US" w:eastAsia="en-US" w:bidi="ar-SA"/>
        </w:rPr>
        <w:t>9.整体为手持式、便携式设计，体积小巧、重量轻便，可单手操作。</w:t>
      </w:r>
    </w:p>
    <w:p w14:paraId="47AD814F">
      <w:pPr>
        <w:keepNext w:val="0"/>
        <w:keepLines w:val="0"/>
        <w:pageBreakBefore w:val="0"/>
        <w:widowControl/>
        <w:kinsoku w:val="0"/>
        <w:wordWrap w:val="0"/>
        <w:overflowPunct/>
        <w:topLinePunct w:val="0"/>
        <w:autoSpaceDE w:val="0"/>
        <w:autoSpaceDN w:val="0"/>
        <w:bidi w:val="0"/>
        <w:adjustRightInd w:val="0"/>
        <w:snapToGrid w:val="0"/>
        <w:ind w:firstLine="484" w:firstLineChars="200"/>
        <w:jc w:val="both"/>
        <w:textAlignment w:val="baseline"/>
        <w:rPr>
          <w:rFonts w:hint="eastAsia" w:ascii="仿宋_GB2312" w:hAnsi="仿宋_GB2312" w:eastAsia="仿宋_GB2312" w:cs="仿宋_GB2312"/>
          <w:snapToGrid w:val="0"/>
          <w:color w:val="000000"/>
          <w:spacing w:val="-9"/>
          <w:kern w:val="0"/>
          <w:sz w:val="26"/>
          <w:szCs w:val="26"/>
          <w:lang w:val="en-US" w:eastAsia="en-US" w:bidi="ar-SA"/>
        </w:rPr>
      </w:pPr>
      <w:r>
        <w:rPr>
          <w:rFonts w:hint="eastAsia" w:ascii="仿宋_GB2312" w:hAnsi="仿宋_GB2312" w:eastAsia="仿宋_GB2312" w:cs="仿宋_GB2312"/>
          <w:snapToGrid w:val="0"/>
          <w:color w:val="000000"/>
          <w:spacing w:val="-9"/>
          <w:kern w:val="0"/>
          <w:sz w:val="26"/>
          <w:szCs w:val="26"/>
          <w:lang w:val="en-US" w:eastAsia="en-US" w:bidi="ar-SA"/>
        </w:rPr>
        <w:t>10.设备外壳材质坚固耐用，可耐受临床常规消毒剂擦拭消毒，不易老化、腐蚀。</w:t>
      </w:r>
    </w:p>
    <w:p w14:paraId="0D95C380">
      <w:pPr>
        <w:keepNext w:val="0"/>
        <w:keepLines w:val="0"/>
        <w:pageBreakBefore w:val="0"/>
        <w:widowControl/>
        <w:kinsoku w:val="0"/>
        <w:wordWrap w:val="0"/>
        <w:overflowPunct/>
        <w:topLinePunct w:val="0"/>
        <w:autoSpaceDE w:val="0"/>
        <w:autoSpaceDN w:val="0"/>
        <w:bidi w:val="0"/>
        <w:adjustRightInd w:val="0"/>
        <w:snapToGrid w:val="0"/>
        <w:ind w:firstLine="484" w:firstLineChars="200"/>
        <w:jc w:val="both"/>
        <w:textAlignment w:val="baseline"/>
        <w:rPr>
          <w:rFonts w:hint="eastAsia" w:ascii="仿宋_GB2312" w:hAnsi="仿宋_GB2312" w:eastAsia="仿宋_GB2312" w:cs="仿宋_GB2312"/>
          <w:snapToGrid w:val="0"/>
          <w:color w:val="000000"/>
          <w:spacing w:val="-9"/>
          <w:kern w:val="0"/>
          <w:sz w:val="26"/>
          <w:szCs w:val="26"/>
          <w:lang w:val="en-US" w:eastAsia="en-US" w:bidi="ar-SA"/>
        </w:rPr>
      </w:pPr>
      <w:r>
        <w:rPr>
          <w:rFonts w:hint="eastAsia" w:ascii="仿宋_GB2312" w:hAnsi="仿宋_GB2312" w:eastAsia="仿宋_GB2312" w:cs="仿宋_GB2312"/>
          <w:snapToGrid w:val="0"/>
          <w:color w:val="000000"/>
          <w:spacing w:val="-9"/>
          <w:kern w:val="0"/>
          <w:sz w:val="26"/>
          <w:szCs w:val="26"/>
          <w:lang w:val="en-US" w:eastAsia="en-US" w:bidi="ar-SA"/>
        </w:rPr>
        <w:t>11.气路密封性良好，在正常使用压力范围内无漏气、无破损。</w:t>
      </w:r>
    </w:p>
    <w:p w14:paraId="7E106AD7">
      <w:pPr>
        <w:keepNext w:val="0"/>
        <w:keepLines w:val="0"/>
        <w:pageBreakBefore w:val="0"/>
        <w:widowControl/>
        <w:kinsoku w:val="0"/>
        <w:wordWrap w:val="0"/>
        <w:overflowPunct/>
        <w:topLinePunct w:val="0"/>
        <w:autoSpaceDE w:val="0"/>
        <w:autoSpaceDN w:val="0"/>
        <w:bidi w:val="0"/>
        <w:adjustRightInd w:val="0"/>
        <w:snapToGrid w:val="0"/>
        <w:ind w:firstLine="484" w:firstLineChars="200"/>
        <w:jc w:val="both"/>
        <w:textAlignment w:val="baseline"/>
        <w:rPr>
          <w:rFonts w:hint="eastAsia" w:ascii="仿宋_GB2312" w:hAnsi="仿宋_GB2312" w:eastAsia="仿宋_GB2312" w:cs="仿宋_GB2312"/>
          <w:snapToGrid w:val="0"/>
          <w:color w:val="000000"/>
          <w:spacing w:val="-9"/>
          <w:kern w:val="0"/>
          <w:sz w:val="26"/>
          <w:szCs w:val="26"/>
          <w:lang w:val="en-US" w:eastAsia="en-US" w:bidi="ar-SA"/>
        </w:rPr>
      </w:pPr>
      <w:r>
        <w:rPr>
          <w:rFonts w:hint="eastAsia" w:ascii="仿宋_GB2312" w:hAnsi="仿宋_GB2312" w:eastAsia="仿宋_GB2312" w:cs="仿宋_GB2312"/>
          <w:snapToGrid w:val="0"/>
          <w:color w:val="000000"/>
          <w:spacing w:val="-9"/>
          <w:kern w:val="0"/>
          <w:sz w:val="26"/>
          <w:szCs w:val="26"/>
          <w:lang w:val="en-US" w:eastAsia="en-US" w:bidi="ar-SA"/>
        </w:rPr>
        <w:t>12.标配：主机、连接管路、产品说明书、合格证书。</w:t>
      </w:r>
    </w:p>
    <w:p w14:paraId="5BE26AC0">
      <w:pPr>
        <w:wordWrap w:val="0"/>
        <w:jc w:val="both"/>
        <w:rPr>
          <w:rFonts w:hint="eastAsia" w:ascii="仿宋_GB2312" w:hAnsi="仿宋_GB2312" w:eastAsia="仿宋_GB2312" w:cs="仿宋_GB2312"/>
          <w:sz w:val="28"/>
          <w:szCs w:val="36"/>
        </w:rPr>
      </w:pPr>
    </w:p>
    <w:p w14:paraId="53C37C08">
      <w:pPr>
        <w:wordWrap w:val="0"/>
        <w:jc w:val="both"/>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rPr>
        <w:t>供应商每有一条</w:t>
      </w:r>
      <w:r>
        <w:rPr>
          <w:rFonts w:hint="eastAsia" w:ascii="仿宋_GB2312" w:hAnsi="仿宋_GB2312" w:eastAsia="仿宋_GB2312" w:cs="仿宋_GB2312"/>
          <w:sz w:val="28"/>
          <w:szCs w:val="36"/>
          <w:lang w:val="en-US" w:eastAsia="zh-CN"/>
        </w:rPr>
        <w:t>重要</w:t>
      </w:r>
      <w:r>
        <w:rPr>
          <w:rFonts w:hint="eastAsia" w:ascii="仿宋_GB2312" w:hAnsi="仿宋_GB2312" w:eastAsia="仿宋_GB2312" w:cs="仿宋_GB2312"/>
          <w:sz w:val="28"/>
          <w:szCs w:val="36"/>
        </w:rPr>
        <w:t>参数</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napToGrid w:val="0"/>
          <w:color w:val="000000"/>
          <w:spacing w:val="-9"/>
          <w:kern w:val="0"/>
          <w:sz w:val="26"/>
          <w:szCs w:val="26"/>
          <w:lang w:val="en-US" w:eastAsia="en-US" w:bidi="ar-SA"/>
        </w:rPr>
        <w:t>★</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rPr>
        <w:t>不响应扣</w:t>
      </w:r>
      <w:r>
        <w:rPr>
          <w:rFonts w:hint="eastAsia" w:ascii="仿宋_GB2312" w:hAnsi="仿宋_GB2312" w:eastAsia="仿宋_GB2312" w:cs="仿宋_GB2312"/>
          <w:sz w:val="28"/>
          <w:szCs w:val="36"/>
          <w:lang w:val="en-US" w:eastAsia="zh-CN"/>
        </w:rPr>
        <w:t>2</w:t>
      </w:r>
      <w:r>
        <w:rPr>
          <w:rFonts w:hint="eastAsia" w:ascii="仿宋_GB2312" w:hAnsi="仿宋_GB2312" w:eastAsia="仿宋_GB2312" w:cs="仿宋_GB2312"/>
          <w:sz w:val="28"/>
          <w:szCs w:val="36"/>
        </w:rPr>
        <w:t>分，</w:t>
      </w:r>
      <w:r>
        <w:rPr>
          <w:rFonts w:hint="eastAsia" w:ascii="仿宋_GB2312" w:hAnsi="仿宋_GB2312" w:eastAsia="仿宋_GB2312" w:cs="仿宋_GB2312"/>
          <w:sz w:val="28"/>
          <w:szCs w:val="36"/>
          <w:lang w:val="en-US" w:eastAsia="zh-CN"/>
        </w:rPr>
        <w:t>非</w:t>
      </w:r>
      <w:r>
        <w:rPr>
          <w:rFonts w:hint="eastAsia" w:ascii="仿宋_GB2312" w:hAnsi="仿宋_GB2312" w:eastAsia="仿宋_GB2312" w:cs="仿宋_GB2312"/>
          <w:snapToGrid w:val="0"/>
          <w:color w:val="000000"/>
          <w:spacing w:val="-9"/>
          <w:kern w:val="0"/>
          <w:sz w:val="26"/>
          <w:szCs w:val="26"/>
          <w:lang w:val="en-US" w:eastAsia="en-US" w:bidi="ar-SA"/>
        </w:rPr>
        <w:t>★</w:t>
      </w:r>
      <w:r>
        <w:rPr>
          <w:rFonts w:hint="eastAsia" w:ascii="仿宋_GB2312" w:hAnsi="仿宋_GB2312" w:eastAsia="仿宋_GB2312" w:cs="仿宋_GB2312"/>
          <w:sz w:val="28"/>
          <w:szCs w:val="36"/>
        </w:rPr>
        <w:t>参数</w:t>
      </w:r>
      <w:r>
        <w:rPr>
          <w:rFonts w:hint="eastAsia" w:ascii="仿宋_GB2312" w:hAnsi="仿宋_GB2312" w:eastAsia="仿宋_GB2312" w:cs="仿宋_GB2312"/>
          <w:sz w:val="28"/>
          <w:szCs w:val="36"/>
          <w:lang w:val="en-US" w:eastAsia="zh-CN"/>
        </w:rPr>
        <w:t>共18分，微量泵非</w:t>
      </w:r>
      <w:r>
        <w:rPr>
          <w:rFonts w:hint="eastAsia" w:ascii="仿宋_GB2312" w:hAnsi="仿宋_GB2312" w:eastAsia="仿宋_GB2312" w:cs="仿宋_GB2312"/>
          <w:snapToGrid w:val="0"/>
          <w:color w:val="000000"/>
          <w:spacing w:val="-9"/>
          <w:kern w:val="0"/>
          <w:sz w:val="26"/>
          <w:szCs w:val="26"/>
          <w:lang w:val="en-US" w:eastAsia="en-US" w:bidi="ar-SA"/>
        </w:rPr>
        <w:t>★</w:t>
      </w:r>
      <w:r>
        <w:rPr>
          <w:rFonts w:hint="eastAsia" w:ascii="仿宋_GB2312" w:hAnsi="仿宋_GB2312" w:eastAsia="仿宋_GB2312" w:cs="仿宋_GB2312"/>
          <w:sz w:val="28"/>
          <w:szCs w:val="36"/>
        </w:rPr>
        <w:t>参数</w:t>
      </w:r>
      <w:r>
        <w:rPr>
          <w:rFonts w:hint="eastAsia" w:ascii="仿宋_GB2312" w:hAnsi="仿宋_GB2312" w:eastAsia="仿宋_GB2312" w:cs="仿宋_GB2312"/>
          <w:sz w:val="28"/>
          <w:szCs w:val="36"/>
          <w:lang w:val="en-US" w:eastAsia="zh-CN"/>
        </w:rPr>
        <w:t>全部满足得6分，否则不得分，输液泵非</w:t>
      </w:r>
      <w:r>
        <w:rPr>
          <w:rFonts w:hint="eastAsia" w:ascii="仿宋_GB2312" w:hAnsi="仿宋_GB2312" w:eastAsia="仿宋_GB2312" w:cs="仿宋_GB2312"/>
          <w:snapToGrid w:val="0"/>
          <w:color w:val="000000"/>
          <w:spacing w:val="-9"/>
          <w:kern w:val="0"/>
          <w:sz w:val="26"/>
          <w:szCs w:val="26"/>
          <w:lang w:val="en-US" w:eastAsia="en-US" w:bidi="ar-SA"/>
        </w:rPr>
        <w:t>★</w:t>
      </w:r>
      <w:r>
        <w:rPr>
          <w:rFonts w:hint="eastAsia" w:ascii="仿宋_GB2312" w:hAnsi="仿宋_GB2312" w:eastAsia="仿宋_GB2312" w:cs="仿宋_GB2312"/>
          <w:sz w:val="28"/>
          <w:szCs w:val="36"/>
        </w:rPr>
        <w:t>参数</w:t>
      </w:r>
      <w:r>
        <w:rPr>
          <w:rFonts w:hint="eastAsia" w:ascii="仿宋_GB2312" w:hAnsi="仿宋_GB2312" w:eastAsia="仿宋_GB2312" w:cs="仿宋_GB2312"/>
          <w:sz w:val="28"/>
          <w:szCs w:val="36"/>
          <w:lang w:val="en-US" w:eastAsia="zh-CN"/>
        </w:rPr>
        <w:t>全部满足得6分，否则不得分，手动气囊压力表有任意非</w:t>
      </w:r>
      <w:r>
        <w:rPr>
          <w:rFonts w:hint="eastAsia" w:ascii="仿宋_GB2312" w:hAnsi="仿宋_GB2312" w:eastAsia="仿宋_GB2312" w:cs="仿宋_GB2312"/>
          <w:snapToGrid w:val="0"/>
          <w:color w:val="000000"/>
          <w:spacing w:val="-9"/>
          <w:kern w:val="0"/>
          <w:sz w:val="26"/>
          <w:szCs w:val="26"/>
          <w:lang w:val="en-US" w:eastAsia="en-US" w:bidi="ar-SA"/>
        </w:rPr>
        <w:t>★</w:t>
      </w:r>
      <w:r>
        <w:rPr>
          <w:rFonts w:hint="eastAsia" w:ascii="仿宋_GB2312" w:hAnsi="仿宋_GB2312" w:eastAsia="仿宋_GB2312" w:cs="仿宋_GB2312"/>
          <w:sz w:val="28"/>
          <w:szCs w:val="36"/>
          <w:lang w:val="en-US" w:eastAsia="zh-CN"/>
        </w:rPr>
        <w:t>参数</w:t>
      </w:r>
      <w:r>
        <w:rPr>
          <w:rFonts w:hint="eastAsia" w:ascii="仿宋_GB2312" w:hAnsi="仿宋_GB2312" w:eastAsia="仿宋_GB2312" w:cs="仿宋_GB2312"/>
          <w:sz w:val="28"/>
          <w:szCs w:val="36"/>
        </w:rPr>
        <w:t>不响应扣</w:t>
      </w:r>
      <w:r>
        <w:rPr>
          <w:rFonts w:hint="eastAsia" w:ascii="仿宋_GB2312" w:hAnsi="仿宋_GB2312" w:eastAsia="仿宋_GB2312" w:cs="仿宋_GB2312"/>
          <w:sz w:val="28"/>
          <w:szCs w:val="36"/>
          <w:lang w:val="en-US" w:eastAsia="zh-CN"/>
        </w:rPr>
        <w:t>6</w:t>
      </w:r>
      <w:r>
        <w:rPr>
          <w:rFonts w:hint="eastAsia" w:ascii="仿宋_GB2312" w:hAnsi="仿宋_GB2312" w:eastAsia="仿宋_GB2312" w:cs="仿宋_GB2312"/>
          <w:sz w:val="28"/>
          <w:szCs w:val="36"/>
        </w:rPr>
        <w:t>分</w:t>
      </w:r>
      <w:r>
        <w:rPr>
          <w:rFonts w:hint="eastAsia" w:ascii="仿宋_GB2312" w:hAnsi="仿宋_GB2312" w:eastAsia="仿宋_GB2312" w:cs="仿宋_GB2312"/>
          <w:sz w:val="28"/>
          <w:szCs w:val="36"/>
          <w:lang w:val="en-US" w:eastAsia="zh-CN"/>
        </w:rPr>
        <w:t>，否则不得分</w:t>
      </w:r>
      <w:r>
        <w:rPr>
          <w:rFonts w:hint="eastAsia" w:ascii="仿宋_GB2312" w:hAnsi="仿宋_GB2312" w:eastAsia="仿宋_GB2312" w:cs="仿宋_GB2312"/>
          <w:sz w:val="28"/>
          <w:szCs w:val="36"/>
        </w:rPr>
        <w:t>。技术和功能响应未描述或未提供相应支撑材料的，</w:t>
      </w:r>
      <w:bookmarkStart w:id="0" w:name="OLE_LINK1"/>
      <w:r>
        <w:rPr>
          <w:rFonts w:hint="eastAsia" w:ascii="仿宋_GB2312" w:hAnsi="仿宋_GB2312" w:eastAsia="仿宋_GB2312" w:cs="仿宋_GB2312"/>
          <w:sz w:val="28"/>
          <w:szCs w:val="36"/>
        </w:rPr>
        <w:t>对应项不得分。</w:t>
      </w:r>
    </w:p>
    <w:bookmarkEnd w:id="0"/>
    <w:p w14:paraId="075494EA">
      <w:pPr>
        <w:rPr>
          <w:rFonts w:hint="eastAsia" w:ascii="仿宋_GB2312" w:hAnsi="仿宋_GB2312" w:eastAsia="仿宋_GB2312" w:cs="仿宋_GB2312"/>
          <w:sz w:val="28"/>
          <w:szCs w:val="36"/>
          <w:lang w:val="en-US" w:eastAsia="zh-CN"/>
        </w:rPr>
      </w:pPr>
    </w:p>
    <w:p w14:paraId="25EBF777">
      <w:pPr>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实质性要求:</w:t>
      </w:r>
    </w:p>
    <w:p w14:paraId="5323A06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1.若设备使用涉及辐射安全管理相关工作，投标报价包含设备投入使用涉及预评、环评、控评、性能检测、办理辐射安全许可证及相关手续等全部费用，并协作完成相关工作。</w:t>
      </w:r>
    </w:p>
    <w:p w14:paraId="73121D3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接口相关：若设备使用需要接入医院信息管理系统即（PACS/HIS/LIS/HRP/EMR/集成平台等），本次投标所提供的软件支持永久免费开放所有接口和数据；在实施及免费质保期内与甲方现使用的信息系统及医院因业务需求需要对接的系统等免费无缝集成，免费配合第三方开发接口程序，实现与医院数据中心数据对接，本项目涉及到与第三方软件业务系统所产生的接口费用包含在投标总价中。</w:t>
      </w:r>
    </w:p>
    <w:p w14:paraId="1093BCF6">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交付产品符合国家相关法律法规规定的质量标准，为正规厂家生产、正规渠道销售的全新合格货物，且没有任何质量瑕疵（生产日期至合同签订之日不得超过12个月，无需签订合同的项目生产日期至中标结果公示日期不得超过12个月）。</w:t>
      </w:r>
    </w:p>
    <w:p w14:paraId="291DBABC">
      <w:pPr>
        <w:pStyle w:val="2"/>
        <w:spacing w:before="85"/>
        <w:jc w:val="right"/>
      </w:pPr>
      <w:bookmarkStart w:id="1" w:name="_GoBack"/>
      <w:bookmarkEnd w:id="1"/>
    </w:p>
    <w:sectPr>
      <w:pgSz w:w="12060" w:h="16950"/>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8877DB"/>
    <w:rsid w:val="23762C1A"/>
    <w:rsid w:val="24124BAB"/>
    <w:rsid w:val="27916F6D"/>
    <w:rsid w:val="37FA6C8F"/>
    <w:rsid w:val="58C425E6"/>
    <w:rsid w:val="72E41C51"/>
    <w:rsid w:val="7C033CB3"/>
    <w:rsid w:val="7C713B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6"/>
      <w:szCs w:val="26"/>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1927</Words>
  <Characters>2100</Characters>
  <TotalTime>3</TotalTime>
  <ScaleCrop>false</ScaleCrop>
  <LinksUpToDate>false</LinksUpToDate>
  <CharactersWithSpaces>2111</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2026-04-14T15:18:00Z</dcterms:created>
  <dc:creator>Administrator</dc:creator>
  <cp:lastModifiedBy>吴怡</cp:lastModifiedBy>
  <dcterms:modified xsi:type="dcterms:W3CDTF">2026-05-18T08:39:59Z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2026-04-14T15:18:23Z</vt:filetime>
  </property>
  <property fmtid="{D5CDD505-2E9C-101B-9397-08002B2CF9AE}" pid="4" name="UsrData">
    <vt:lpwstr>69ddea3a6314910020a4914fwl</vt:lpwstr>
  </property>
  <property fmtid="{D5CDD505-2E9C-101B-9397-08002B2CF9AE}" pid="5" name="KSOTemplateDocerSaveRecord">
    <vt:lpwstr>eyJoZGlkIjoiMWY3MjliM2ZjZjFkYzVmNDQwYzA5ZTZmZGNhMmYwZDgiLCJ1c2VySWQiOiIxNzcxNzk1NjcxIn0=</vt:lpwstr>
  </property>
  <property fmtid="{D5CDD505-2E9C-101B-9397-08002B2CF9AE}" pid="6" name="KSOProductBuildVer">
    <vt:lpwstr>2052-12.1.0.25865</vt:lpwstr>
  </property>
  <property fmtid="{D5CDD505-2E9C-101B-9397-08002B2CF9AE}" pid="7" name="ICV">
    <vt:lpwstr>D4267B95820242ABA11C2CE974C88016_12</vt:lpwstr>
  </property>
</Properties>
</file>