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4C51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outlineLvl w:val="0"/>
        <w:rPr>
          <w:rFonts w:hint="eastAsia" w:ascii="仿宋" w:hAnsi="仿宋" w:eastAsia="仿宋" w:cs="仿宋"/>
          <w:b/>
          <w:bCs/>
          <w:snapToGrid w:val="0"/>
          <w:color w:val="000000"/>
          <w:spacing w:val="14"/>
          <w:kern w:val="0"/>
          <w:sz w:val="48"/>
          <w:szCs w:val="48"/>
          <w:u w:val="none"/>
          <w:lang w:val="en-US" w:eastAsia="en-US" w:bidi="ar-SA"/>
        </w:rPr>
      </w:pPr>
      <w:r>
        <w:rPr>
          <w:rFonts w:hint="eastAsia" w:ascii="仿宋" w:hAnsi="仿宋" w:eastAsia="仿宋" w:cs="仿宋"/>
          <w:b/>
          <w:bCs/>
          <w:snapToGrid w:val="0"/>
          <w:color w:val="000000"/>
          <w:spacing w:val="14"/>
          <w:kern w:val="0"/>
          <w:sz w:val="48"/>
          <w:szCs w:val="48"/>
          <w:u w:val="single"/>
          <w:lang w:val="en-US" w:eastAsia="en-US" w:bidi="ar-SA"/>
        </w:rPr>
        <w:t xml:space="preserve">掌上彩色超声诊断仪 </w:t>
      </w:r>
      <w:r>
        <w:rPr>
          <w:rFonts w:hint="eastAsia" w:ascii="仿宋" w:hAnsi="仿宋" w:eastAsia="仿宋" w:cs="仿宋"/>
          <w:b/>
          <w:bCs/>
          <w:snapToGrid w:val="0"/>
          <w:color w:val="000000"/>
          <w:spacing w:val="14"/>
          <w:kern w:val="0"/>
          <w:sz w:val="48"/>
          <w:szCs w:val="48"/>
          <w:u w:val="none"/>
          <w:lang w:val="en-US" w:eastAsia="en-US" w:bidi="ar-SA"/>
        </w:rPr>
        <w:t xml:space="preserve"> 技术参数</w:t>
      </w:r>
    </w:p>
    <w:p w14:paraId="104E7AF3">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1.主机物理规格：一体化手持式设计，外形尺寸长≤165mm,宽≤60mm,厚≤26mm,整机重量(含探头)≤150g。</w:t>
      </w:r>
    </w:p>
    <w:p w14:paraId="31A11C46">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★2.防护能力：主机防护等级≥IPX7。</w:t>
      </w:r>
    </w:p>
    <w:p w14:paraId="292B31EA">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3.操作方式：主机机身需设计实体操作按键，支持快速冻结/解冻等基础操作。</w:t>
      </w:r>
    </w:p>
    <w:p w14:paraId="6ABD1218">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★4.显示终端：支持通过专用数据线连接第三方智能终端(如平板、电脑)进行图像显示与操作。</w:t>
      </w:r>
    </w:p>
    <w:p w14:paraId="7C27A22F">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5.系统兼容性：兼容Windows 操作系统，支持中文/英文语言界面。</w:t>
      </w:r>
    </w:p>
    <w:p w14:paraId="0F18BC6A">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★6.探头类型：相控阵探头。</w:t>
      </w:r>
    </w:p>
    <w:p w14:paraId="0F470FDF">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★7.物理通道数：≥64通道。</w:t>
      </w:r>
    </w:p>
    <w:p w14:paraId="5878B77E">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★8.阵元数：≥64阵元。</w:t>
      </w:r>
    </w:p>
    <w:p w14:paraId="7749C85B">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9.频率范围：宽频技术，频率范围2.0</w:t>
      </w:r>
      <w:r>
        <w:rPr>
          <w:rFonts w:hint="eastAsia" w:ascii="仿宋_GB2312" w:hAnsi="仿宋_GB2312" w:eastAsia="仿宋_GB2312" w:cs="仿宋_GB2312"/>
          <w:spacing w:val="-9"/>
          <w:sz w:val="26"/>
          <w:szCs w:val="26"/>
          <w:lang w:val="en-US" w:eastAsia="zh-CN"/>
        </w:rPr>
        <w:t>-</w:t>
      </w:r>
      <w:r>
        <w:rPr>
          <w:rFonts w:hint="eastAsia" w:ascii="仿宋_GB2312" w:hAnsi="仿宋_GB2312" w:eastAsia="仿宋_GB2312" w:cs="仿宋_GB2312"/>
          <w:spacing w:val="-9"/>
          <w:sz w:val="26"/>
          <w:szCs w:val="26"/>
        </w:rPr>
        <w:t>4.0 MHz,基波≥3 档可调，谐波≥4档可调。</w:t>
      </w:r>
    </w:p>
    <w:p w14:paraId="7A951239">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★10.扫描深度：最大扫描深度≥300mm。</w:t>
      </w:r>
    </w:p>
    <w:p w14:paraId="30C92C23">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11.便捷性：支持探头热插拔及自动识别功能。</w:t>
      </w:r>
    </w:p>
    <w:p w14:paraId="2C0ED3C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12.二维灰阶成像：支持显示模式：B,2B,4B,B/M,M。</w:t>
      </w:r>
    </w:p>
    <w:p w14:paraId="0B729195">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★13.二维灰阶性能：动态范围≥100dB;灰阶≥256级；最大帧频≥30fps。</w:t>
      </w:r>
    </w:p>
    <w:p w14:paraId="72A2615B">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★14.二维图像调节：总增益连续可调；TGC≥8段独立可调；焦点数≥4个，可调。</w:t>
      </w:r>
    </w:p>
    <w:p w14:paraId="0DC6F49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15.二维图像优化：具备空间复合成像、谐波成像、图像增强、伪彩、翻转/镜像等图像优化技术。</w:t>
      </w:r>
    </w:p>
    <w:p w14:paraId="53D50C41">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★16.彩色多普勒：支持彩色血流成像( CF)、能量多普勒( PDI)、方向性能量多普勒 (DPDI)。</w:t>
      </w:r>
    </w:p>
    <w:p w14:paraId="7195FC0D">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 xml:space="preserve">★17.频谱多普勒：支持脉冲波多普勒( PW): 最大血流速度测量≥ </w:t>
      </w:r>
      <w:r>
        <w:rPr>
          <w:rFonts w:hint="eastAsia" w:ascii="仿宋_GB2312" w:hAnsi="仿宋_GB2312" w:eastAsia="仿宋_GB2312" w:cs="仿宋_GB2312"/>
          <w:spacing w:val="-9"/>
          <w:sz w:val="26"/>
          <w:szCs w:val="26"/>
          <w:lang w:val="en-US" w:eastAsia="zh-CN"/>
        </w:rPr>
        <w:t>±</w:t>
      </w:r>
      <w:r>
        <w:rPr>
          <w:rFonts w:hint="eastAsia" w:ascii="仿宋_GB2312" w:hAnsi="仿宋_GB2312" w:eastAsia="仿宋_GB2312" w:cs="仿宋_GB2312"/>
          <w:spacing w:val="-9"/>
          <w:sz w:val="26"/>
          <w:szCs w:val="26"/>
        </w:rPr>
        <w:t>200 cm/s;最低血流速度测量≤5 mm/s。]</w:t>
      </w:r>
    </w:p>
    <w:p w14:paraId="32169029">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18.组织多普勒：支持组织多普勒成像( TDI)。</w:t>
      </w:r>
    </w:p>
    <w:p w14:paraId="1A49C973">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19.测量与报告：支持常规测量(距离、面积、周长、体积、角度、心率、狭窄比等)及报告生成、导出、打印功能。</w:t>
      </w:r>
    </w:p>
    <w:p w14:paraId="180AC4E6">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★20.专科测量：具备腹部、心脏等专科测量软件包及自动分析功能 (如自动包络、血流参数计算)。</w:t>
      </w:r>
    </w:p>
    <w:p w14:paraId="2CDD3EC8">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★21.穿刺引导：具备穿刺引导线，支持多角度可调，具备穿刺针增强技术或实时距离监测功能。</w:t>
      </w:r>
    </w:p>
    <w:p w14:paraId="208EFF88">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22.预设模式：具备腹部、心脏等多种预设检查模式≥3种，且支持用户自定义预设≥5种。</w:t>
      </w:r>
    </w:p>
    <w:p w14:paraId="7A5637B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23.  图像管理：支持动态图像电影回放，回放帧数≥2000帧；支持JPG/PNG/MP4/DICOM 等通用格式存储。</w:t>
      </w:r>
    </w:p>
    <w:p w14:paraId="416D2079">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eastAsia" w:ascii="仿宋_GB2312" w:hAnsi="仿宋_GB2312" w:eastAsia="仿宋_GB2312" w:cs="仿宋_GB2312"/>
          <w:spacing w:val="-9"/>
          <w:sz w:val="26"/>
          <w:szCs w:val="26"/>
        </w:rPr>
      </w:pPr>
      <w:r>
        <w:rPr>
          <w:rFonts w:hint="eastAsia" w:ascii="仿宋_GB2312" w:hAnsi="仿宋_GB2312" w:eastAsia="仿宋_GB2312" w:cs="仿宋_GB2312"/>
          <w:spacing w:val="-9"/>
          <w:sz w:val="26"/>
          <w:szCs w:val="26"/>
        </w:rPr>
        <w:t>24.患者管理：支持患者信息录入、编辑、查询、管理。</w:t>
      </w:r>
    </w:p>
    <w:p w14:paraId="53C37C08">
      <w:pPr>
        <w:wordWrap w:val="0"/>
        <w:jc w:val="left"/>
        <w:rPr>
          <w:rFonts w:hint="eastAsia" w:ascii="仿宋_GB2312" w:hAnsi="仿宋_GB2312" w:eastAsia="仿宋_GB2312" w:cs="仿宋_GB2312"/>
          <w:sz w:val="28"/>
          <w:szCs w:val="36"/>
          <w:lang w:eastAsia="zh-CN"/>
        </w:rPr>
      </w:pPr>
      <w:r>
        <w:rPr>
          <w:rFonts w:hint="eastAsia" w:ascii="仿宋_GB2312" w:hAnsi="仿宋_GB2312" w:eastAsia="仿宋_GB2312" w:cs="仿宋_GB2312"/>
          <w:sz w:val="28"/>
          <w:szCs w:val="36"/>
        </w:rPr>
        <w:t>供应商每有一条</w:t>
      </w:r>
      <w:r>
        <w:rPr>
          <w:rFonts w:hint="eastAsia" w:ascii="仿宋_GB2312" w:hAnsi="仿宋_GB2312" w:eastAsia="仿宋_GB2312" w:cs="仿宋_GB2312"/>
          <w:sz w:val="28"/>
          <w:szCs w:val="36"/>
          <w:lang w:val="en-US" w:eastAsia="zh-CN"/>
        </w:rPr>
        <w:t>重要</w:t>
      </w:r>
      <w:r>
        <w:rPr>
          <w:rFonts w:hint="eastAsia" w:ascii="仿宋_GB2312" w:hAnsi="仿宋_GB2312" w:eastAsia="仿宋_GB2312" w:cs="仿宋_GB2312"/>
          <w:sz w:val="28"/>
          <w:szCs w:val="36"/>
        </w:rPr>
        <w:t>参数不响应扣</w:t>
      </w:r>
      <w:r>
        <w:rPr>
          <w:rFonts w:hint="eastAsia" w:ascii="仿宋_GB2312" w:hAnsi="仿宋_GB2312" w:eastAsia="仿宋_GB2312" w:cs="仿宋_GB2312"/>
          <w:sz w:val="28"/>
          <w:szCs w:val="36"/>
          <w:lang w:val="en-US" w:eastAsia="zh-CN"/>
        </w:rPr>
        <w:t>3</w:t>
      </w:r>
      <w:r>
        <w:rPr>
          <w:rFonts w:hint="eastAsia" w:ascii="仿宋_GB2312" w:hAnsi="仿宋_GB2312" w:eastAsia="仿宋_GB2312" w:cs="仿宋_GB2312"/>
          <w:sz w:val="28"/>
          <w:szCs w:val="36"/>
        </w:rPr>
        <w:t>分，每有一条</w:t>
      </w:r>
      <w:r>
        <w:rPr>
          <w:rFonts w:hint="eastAsia" w:ascii="仿宋_GB2312" w:hAnsi="仿宋_GB2312" w:eastAsia="仿宋_GB2312" w:cs="仿宋_GB2312"/>
          <w:sz w:val="28"/>
          <w:szCs w:val="36"/>
          <w:lang w:val="en-US" w:eastAsia="zh-CN"/>
        </w:rPr>
        <w:t>一般</w:t>
      </w:r>
      <w:r>
        <w:rPr>
          <w:rFonts w:hint="eastAsia" w:ascii="仿宋_GB2312" w:hAnsi="仿宋_GB2312" w:eastAsia="仿宋_GB2312" w:cs="仿宋_GB2312"/>
          <w:sz w:val="28"/>
          <w:szCs w:val="36"/>
        </w:rPr>
        <w:t>参数不响应扣</w:t>
      </w:r>
      <w:r>
        <w:rPr>
          <w:rFonts w:hint="eastAsia" w:ascii="仿宋_GB2312" w:hAnsi="仿宋_GB2312" w:eastAsia="仿宋_GB2312" w:cs="仿宋_GB2312"/>
          <w:sz w:val="28"/>
          <w:szCs w:val="36"/>
          <w:lang w:val="en-US" w:eastAsia="zh-CN"/>
        </w:rPr>
        <w:t>1</w:t>
      </w:r>
      <w:r>
        <w:rPr>
          <w:rFonts w:hint="eastAsia" w:ascii="仿宋_GB2312" w:hAnsi="仿宋_GB2312" w:eastAsia="仿宋_GB2312" w:cs="仿宋_GB2312"/>
          <w:sz w:val="28"/>
          <w:szCs w:val="36"/>
        </w:rPr>
        <w:t>分，分数扣完为止。技术和功能响应未描述或未提供相应支撑材料的，</w:t>
      </w:r>
      <w:bookmarkStart w:id="0" w:name="OLE_LINK1"/>
      <w:r>
        <w:rPr>
          <w:rFonts w:hint="eastAsia" w:ascii="仿宋_GB2312" w:hAnsi="仿宋_GB2312" w:eastAsia="仿宋_GB2312" w:cs="仿宋_GB2312"/>
          <w:sz w:val="28"/>
          <w:szCs w:val="36"/>
        </w:rPr>
        <w:t>对应项不得分。</w:t>
      </w:r>
    </w:p>
    <w:bookmarkEnd w:id="0"/>
    <w:p w14:paraId="67B86D77">
      <w:pPr>
        <w:rPr>
          <w:rFonts w:hint="eastAsia" w:ascii="仿宋_GB2312" w:hAnsi="仿宋_GB2312" w:eastAsia="仿宋_GB2312" w:cs="仿宋_GB2312"/>
          <w:sz w:val="28"/>
          <w:szCs w:val="36"/>
          <w:lang w:val="en-US" w:eastAsia="zh-CN"/>
        </w:rPr>
      </w:pPr>
    </w:p>
    <w:p w14:paraId="25EBF777">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实质性要求:</w:t>
      </w:r>
    </w:p>
    <w:p w14:paraId="5323A06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1.若设备使用涉及辐射安全管理相关工作，投标报价包含设备投入使用涉及预评、环评、控评、性能检测、办理辐射安全许可证及相关手续等全部费用，并协作完成相关工作。</w:t>
      </w:r>
    </w:p>
    <w:p w14:paraId="73121D3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2.接口相关：若设备使用需要接入医院信息管理系统即（PACS/HIS/LIS/HRP/EMR/集成平台</w:t>
      </w:r>
      <w:r>
        <w:rPr>
          <w:rFonts w:hint="eastAsia" w:ascii="仿宋_GB2312" w:hAnsi="仿宋_GB2312" w:eastAsia="仿宋_GB2312" w:cs="仿宋_GB2312"/>
          <w:sz w:val="28"/>
          <w:szCs w:val="36"/>
          <w:lang w:eastAsia="zh-CN"/>
        </w:rPr>
        <w:t>、快速发药系统、排队叫号系统</w:t>
      </w:r>
      <w:r>
        <w:rPr>
          <w:rFonts w:hint="eastAsia" w:ascii="仿宋_GB2312" w:hAnsi="仿宋_GB2312" w:eastAsia="仿宋_GB2312" w:cs="仿宋_GB2312"/>
          <w:sz w:val="28"/>
          <w:szCs w:val="36"/>
        </w:rPr>
        <w:t>等），本次投标所提供的软件支持永久免费开放所有接口和数据；在实施及免费质保期内与甲方现使用的信息系统及医院因业务需求需要对接的系统等免费无缝集成，免费配合第三方开发接口程序，实现与医院数据中心数据对接，本项目涉及到与第三方软件业务系统所产生的接口费用包含在投标总价中。</w:t>
      </w:r>
    </w:p>
    <w:p w14:paraId="6FF3ADBA">
      <w:pPr>
        <w:rPr>
          <w:rFonts w:ascii="仿宋" w:hAnsi="仿宋" w:eastAsia="仿宋" w:cs="仿宋"/>
          <w:snapToGrid w:val="0"/>
          <w:color w:val="000000"/>
          <w:spacing w:val="2"/>
          <w:kern w:val="0"/>
          <w:sz w:val="25"/>
          <w:szCs w:val="25"/>
          <w:lang w:val="en-US" w:eastAsia="en-US" w:bidi="ar-SA"/>
        </w:rPr>
      </w:pPr>
      <w:r>
        <w:rPr>
          <w:rFonts w:hint="eastAsia" w:ascii="仿宋_GB2312" w:hAnsi="仿宋_GB2312" w:eastAsia="仿宋_GB2312" w:cs="仿宋_GB2312"/>
          <w:sz w:val="28"/>
          <w:szCs w:val="36"/>
        </w:rPr>
        <w:t>3.交付产品符合国家相关法律法规规定的质量标准，为正规厂家生产、正规渠道销售的全新合格货物，且没有任何质量瑕疵（生产日期至合同签订之日不得超过12个月，无需签订合同的项目生产日期至中标结果公示日期不得超过12个月）。</w:t>
      </w:r>
    </w:p>
    <w:p w14:paraId="344F0DA1">
      <w:pPr>
        <w:rPr>
          <w:rFonts w:hint="eastAsia" w:ascii="仿宋_GB2312" w:hAnsi="仿宋_GB2312" w:eastAsia="仿宋_GB2312" w:cs="仿宋_GB2312"/>
          <w:b/>
          <w:bCs/>
          <w:spacing w:val="-1"/>
          <w:sz w:val="24"/>
          <w:szCs w:val="24"/>
          <w:lang w:val="en-US" w:eastAsia="zh-CN"/>
        </w:rPr>
      </w:pPr>
      <w:r>
        <w:rPr>
          <w:rFonts w:hint="eastAsia" w:ascii="仿宋_GB2312" w:hAnsi="仿宋_GB2312" w:eastAsia="仿宋_GB2312" w:cs="仿宋_GB2312"/>
          <w:sz w:val="28"/>
          <w:szCs w:val="36"/>
          <w:lang w:val="en-US" w:eastAsia="zh-CN"/>
        </w:rPr>
        <w:t>4.整机质保不少于3年。</w:t>
      </w:r>
    </w:p>
    <w:p w14:paraId="5EA5018C">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0" w:firstLine="484" w:firstLineChars="200"/>
        <w:textAlignment w:val="baseline"/>
        <w:rPr>
          <w:rFonts w:hint="default" w:ascii="仿宋_GB2312" w:hAnsi="仿宋_GB2312" w:eastAsia="仿宋_GB2312" w:cs="仿宋_GB2312"/>
          <w:spacing w:val="-9"/>
          <w:sz w:val="26"/>
          <w:szCs w:val="26"/>
          <w:lang w:val="en-US" w:eastAsia="zh-CN"/>
        </w:rPr>
      </w:pPr>
      <w:bookmarkStart w:id="1" w:name="_GoBack"/>
      <w:bookmarkEnd w:id="1"/>
    </w:p>
    <w:sectPr>
      <w:footerReference r:id="rId5" w:type="default"/>
      <w:pgSz w:w="11900" w:h="16840"/>
      <w:pgMar w:top="1440" w:right="1800" w:bottom="1440" w:left="1800" w:header="0" w:footer="20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8E981">
    <w:pPr>
      <w:spacing w:after="38" w:line="217" w:lineRule="auto"/>
      <w:rPr>
        <w:rFonts w:ascii="黑体" w:hAnsi="黑体" w:eastAsia="黑体" w:cs="黑体"/>
        <w:sz w:val="11"/>
        <w:szCs w:val="1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2E65C8D"/>
    <w:rsid w:val="3E121732"/>
    <w:rsid w:val="6F9418E1"/>
    <w:rsid w:val="71FF1F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1188</Words>
  <Characters>1362</Characters>
  <TotalTime>0</TotalTime>
  <ScaleCrop>false</ScaleCrop>
  <LinksUpToDate>false</LinksUpToDate>
  <CharactersWithSpaces>1380</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2026-05-15T09:07:00Z</dcterms:created>
  <dc:creator>Lenovo</dc:creator>
  <cp:lastModifiedBy>吴怡</cp:lastModifiedBy>
  <dcterms:modified xsi:type="dcterms:W3CDTF">2026-05-18T08:32:36Z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2026-05-15T09:07:29Z</vt:filetime>
  </property>
  <property fmtid="{D5CDD505-2E9C-101B-9397-08002B2CF9AE}" pid="4" name="UsrData">
    <vt:lpwstr>6a0671cfa4d3c6001f0c8008wl</vt:lpwstr>
  </property>
  <property fmtid="{D5CDD505-2E9C-101B-9397-08002B2CF9AE}" pid="5" name="KSOTemplateDocerSaveRecord">
    <vt:lpwstr>eyJoZGlkIjoiMWY3MjliM2ZjZjFkYzVmNDQwYzA5ZTZmZGNhMmYwZDgiLCJ1c2VySWQiOiIxNzcxNzk1NjcxIn0=</vt:lpwstr>
  </property>
  <property fmtid="{D5CDD505-2E9C-101B-9397-08002B2CF9AE}" pid="6" name="KSOProductBuildVer">
    <vt:lpwstr>2052-12.1.0.25865</vt:lpwstr>
  </property>
  <property fmtid="{D5CDD505-2E9C-101B-9397-08002B2CF9AE}" pid="7" name="ICV">
    <vt:lpwstr>AA390B18399E4F88A69AD4C11799F155_12</vt:lpwstr>
  </property>
</Properties>
</file>